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h-20260728.htm"/>
      <w:bookmarkStart w:id="1" w:name="ksmanh20260728"/>
      <w:bookmarkEnd w:id="0"/>
      <w:bookmarkEnd w:id="1"/>
      <w:r>
        <w:rPr/>
        <w:t> </w:t>
      </w:r>
    </w:p>
    <w:p>
      <w:pPr>
        <w:pStyle w:val="TextBody"/>
        <w:bidi w:val="0"/>
        <w:jc w:val="right"/>
        <w:rPr/>
      </w:pPr>
      <w:r>
        <w:rPr/>
        <w:t> </w:t>
      </w:r>
    </w:p>
    <w:p>
      <w:pPr>
        <w:pStyle w:val="TextBody"/>
        <w:pBdr>
          <w:top w:val="double" w:sz="6" w:space="1" w:color="000000"/>
        </w:pBdr>
        <w:bidi w:val="0"/>
        <w:jc w:val="both"/>
        <w:rPr/>
      </w:pPr>
      <w:r>
        <w:rPr/>
        <w:t> </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United States</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Securities And Exchange Commission</w:t>
      </w:r>
    </w:p>
    <w:p>
      <w:pPr>
        <w:pStyle w:val="TextBody"/>
        <w:bidi w:val="0"/>
        <w:jc w:val="center"/>
        <w:rPr>
          <w:rFonts w:ascii="Times New Roman" w:hAnsi="Times New Roman"/>
          <w:color w:val="000000"/>
          <w:sz w:val="28"/>
        </w:rPr>
      </w:pPr>
      <w:r>
        <w:rPr>
          <w:rFonts w:ascii="Times New Roman" w:hAnsi="Times New Roman"/>
          <w:color w:val="000000"/>
          <w:sz w:val="28"/>
        </w:rPr>
        <w:t>Washington, DC 20549</w:t>
      </w:r>
    </w:p>
    <w:p>
      <w:pPr>
        <w:pStyle w:val="TextBody"/>
        <w:bidi w:val="0"/>
        <w:jc w:val="center"/>
        <w:rPr>
          <w:rFonts w:ascii="Times New Roman" w:hAnsi="Times New Roman"/>
          <w:color w:val="000000"/>
          <w:sz w:val="24"/>
        </w:rPr>
      </w:pPr>
      <w:r>
        <w:rPr>
          <w:rFonts w:ascii="Times New Roman" w:hAnsi="Times New Roman"/>
          <w:color w:val="000000"/>
          <w:sz w:val="24"/>
        </w:rPr>
        <w:t>______________</w:t>
      </w:r>
    </w:p>
    <w:p>
      <w:pPr>
        <w:pStyle w:val="TextBody"/>
        <w:bidi w:val="0"/>
        <w:jc w:val="center"/>
        <w:rPr>
          <w:rFonts w:ascii="Times New Roman" w:hAnsi="Times New Roman"/>
          <w:b/>
          <w:caps/>
          <w:color w:val="000000"/>
          <w:sz w:val="28"/>
        </w:rPr>
      </w:pPr>
      <w:r>
        <w:rPr>
          <w:rFonts w:ascii="Times New Roman" w:hAnsi="Times New Roman"/>
          <w:b/>
          <w:caps/>
          <w:color w:val="000000"/>
          <w:sz w:val="28"/>
        </w:rPr>
        <w:t>FORM 8-K</w:t>
      </w:r>
    </w:p>
    <w:p>
      <w:pPr>
        <w:pStyle w:val="TextBody"/>
        <w:bidi w:val="0"/>
        <w:jc w:val="center"/>
        <w:rPr>
          <w:rFonts w:ascii="Times New Roman" w:hAnsi="Times New Roman"/>
          <w:color w:val="000000"/>
          <w:sz w:val="24"/>
        </w:rPr>
      </w:pPr>
      <w:r>
        <w:rPr>
          <w:rFonts w:ascii="Times New Roman" w:hAnsi="Times New Roman"/>
          <w:color w:val="000000"/>
          <w:sz w:val="24"/>
        </w:rPr>
        <w:t>____________</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 of Report (Date of earliest event reported): July 28, 2026</w:t>
      </w:r>
    </w:p>
    <w:p>
      <w:pPr>
        <w:pStyle w:val="TextBody"/>
        <w:bidi w:val="0"/>
        <w:jc w:val="both"/>
        <w:rPr/>
      </w:pPr>
      <w:r>
        <w:rPr/>
        <w:t> </w:t>
      </w:r>
    </w:p>
    <w:p>
      <w:pPr>
        <w:pStyle w:val="TextBody"/>
        <w:bidi w:val="0"/>
        <w:jc w:val="center"/>
        <w:rPr>
          <w:rFonts w:ascii="Times New Roman" w:hAnsi="Times New Roman"/>
          <w:b/>
          <w:smallCaps/>
          <w:color w:val="000000"/>
          <w:sz w:val="32"/>
        </w:rPr>
      </w:pPr>
      <w:r>
        <w:rPr>
          <w:rFonts w:ascii="Times New Roman" w:hAnsi="Times New Roman"/>
          <w:b/>
          <w:smallCaps/>
          <w:color w:val="000000"/>
          <w:sz w:val="32"/>
        </w:rPr>
        <w:t>Manhattan Associates, Inc.</w:t>
      </w:r>
    </w:p>
    <w:p>
      <w:pPr>
        <w:pStyle w:val="TextBody"/>
        <w:bidi w:val="0"/>
        <w:jc w:val="center"/>
        <w:rPr>
          <w:rFonts w:ascii="Times New Roman" w:hAnsi="Times New Roman"/>
          <w:color w:val="000000"/>
          <w:sz w:val="24"/>
        </w:rPr>
      </w:pPr>
      <w:r>
        <w:rPr>
          <w:rFonts w:ascii="Times New Roman" w:hAnsi="Times New Roman"/>
          <w:color w:val="000000"/>
          <w:sz w:val="24"/>
        </w:rPr>
        <w:t>(Exact Name of Registrant as Specified in Its Charter)</w:t>
      </w:r>
    </w:p>
    <w:p>
      <w:pPr>
        <w:pStyle w:val="TextBody"/>
        <w:bidi w:val="0"/>
        <w:jc w:val="center"/>
        <w:rPr/>
      </w:pPr>
      <w:r>
        <w:rPr/>
        <w:t> </w:t>
      </w:r>
    </w:p>
    <w:tbl>
      <w:tblPr>
        <w:tblW w:w="5710" w:type="dxa"/>
        <w:jc w:val="left"/>
        <w:tblInd w:w="0" w:type="dxa"/>
        <w:tblLayout w:type="fixed"/>
        <w:tblCellMar>
          <w:top w:w="28" w:type="dxa"/>
          <w:left w:w="28" w:type="dxa"/>
          <w:bottom w:w="28" w:type="dxa"/>
          <w:right w:w="28" w:type="dxa"/>
        </w:tblCellMar>
      </w:tblPr>
      <w:tblGrid>
        <w:gridCol w:w="2581"/>
        <w:gridCol w:w="146"/>
        <w:gridCol w:w="1186"/>
        <w:gridCol w:w="146"/>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Georgia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0-23999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58-2373424</w:t>
            </w:r>
          </w:p>
        </w:tc>
      </w:tr>
      <w:tr>
        <w:trPr/>
        <w:tc>
          <w:tcPr>
            <w:tcW w:w="25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color w:val="000000"/>
                <w:sz w:val="20"/>
              </w:rPr>
            </w:pPr>
            <w:r>
              <w:rPr>
                <w:rFonts w:ascii="Times New Roman" w:hAnsi="Times New Roman"/>
                <w:color w:val="000000"/>
                <w:sz w:val="20"/>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2300 Windy Ridge Parkway, Tenth Floor, Atlanta, Georgia</w:t>
      </w:r>
    </w:p>
    <w:p>
      <w:pPr>
        <w:pStyle w:val="TextBody"/>
        <w:bidi w:val="0"/>
        <w:jc w:val="center"/>
        <w:rPr>
          <w:rFonts w:ascii="Times New Roman" w:hAnsi="Times New Roman"/>
          <w:b/>
          <w:color w:val="000000"/>
          <w:sz w:val="24"/>
        </w:rPr>
      </w:pPr>
      <w:r>
        <w:rPr>
          <w:rFonts w:ascii="Times New Roman" w:hAnsi="Times New Roman"/>
          <w:b/>
          <w:color w:val="000000"/>
          <w:sz w:val="24"/>
        </w:rPr>
        <w:t>30339</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Offices)</w:t>
      </w:r>
    </w:p>
    <w:p>
      <w:pPr>
        <w:pStyle w:val="TextBody"/>
        <w:bidi w:val="0"/>
        <w:jc w:val="center"/>
        <w:rPr>
          <w:rFonts w:ascii="Times New Roman" w:hAnsi="Times New Roman"/>
          <w:color w:val="000000"/>
          <w:sz w:val="22"/>
        </w:rPr>
      </w:pPr>
      <w:r>
        <w:rPr>
          <w:rFonts w:ascii="Times New Roman" w:hAnsi="Times New Roman"/>
          <w:color w:val="000000"/>
          <w:sz w:val="22"/>
        </w:rPr>
        <w:t>(Zip Code)</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(770) 955-7070</w:t>
      </w:r>
    </w:p>
    <w:p>
      <w:pPr>
        <w:pStyle w:val="TextBody"/>
        <w:bidi w:val="0"/>
        <w:jc w:val="center"/>
        <w:rPr>
          <w:rFonts w:ascii="Times New Roman" w:hAnsi="Times New Roman"/>
          <w:color w:val="000000"/>
          <w:sz w:val="22"/>
        </w:rPr>
      </w:pPr>
      <w:r>
        <w:rPr>
          <w:rFonts w:ascii="Times New Roman" w:hAnsi="Times New Roman"/>
          <w:color w:val="000000"/>
          <w:sz w:val="22"/>
        </w:rPr>
        <w:t>(Registrant’s telephone number, including area code)</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NONE</w:t>
      </w:r>
    </w:p>
    <w:p>
      <w:pPr>
        <w:pStyle w:val="TextBody"/>
        <w:bidi w:val="0"/>
        <w:jc w:val="center"/>
        <w:rPr>
          <w:rFonts w:ascii="Times New Roman" w:hAnsi="Times New Roman"/>
          <w:color w:val="000000"/>
          <w:sz w:val="22"/>
        </w:rPr>
      </w:pPr>
      <w:r>
        <w:rPr>
          <w:rFonts w:ascii="Times New Roman" w:hAnsi="Times New Roman"/>
          <w:color w:val="000000"/>
          <w:sz w:val="22"/>
        </w:rPr>
        <w:t>(Former name or former address, if changed since last report)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both"/>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81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7383" w:type="dxa"/>
        <w:jc w:val="left"/>
        <w:tblInd w:w="0" w:type="dxa"/>
        <w:tblLayout w:type="fixed"/>
        <w:tblCellMar>
          <w:top w:w="28" w:type="dxa"/>
          <w:left w:w="28" w:type="dxa"/>
          <w:bottom w:w="28" w:type="dxa"/>
          <w:right w:w="28" w:type="dxa"/>
        </w:tblCellMar>
      </w:tblPr>
      <w:tblGrid>
        <w:gridCol w:w="3016"/>
        <w:gridCol w:w="886"/>
        <w:gridCol w:w="3481"/>
      </w:tblGrid>
      <w:tr>
        <w:trPr/>
        <w:tc>
          <w:tcPr>
            <w:tcW w:w="301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4" w:space="0" w:color="000000"/>
              <w:left w:val="single" w:sz="4"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6"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016" w:type="dxa"/>
            <w:tcBorders>
              <w:left w:val="single" w:sz="4" w:space="0" w:color="000000"/>
              <w:bottom w:val="single" w:sz="4"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$.01 per share</w:t>
            </w:r>
          </w:p>
        </w:tc>
        <w:tc>
          <w:tcPr>
            <w:tcW w:w="886" w:type="dxa"/>
            <w:tcBorders>
              <w:bottom w:val="single" w:sz="4"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MANH</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pBdr>
          <w:top w:val="double" w:sz="6" w:space="1" w:color="000000"/>
        </w:pBdr>
        <w:bidi w:val="0"/>
        <w:jc w:val="both"/>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July 28, 2026, Manhattan Associates, Inc. (“we”, “our”, or the “Company”) issued a press release providing its financial results for the three and six months ended June 30, 2026. A copy of this press release is attached as Exhibit 99.1. Pursuant to General Instruction B.2 of Form 8-K, this exhibit is “furnished” and not “filed” for purposes of Section 18 of the Securities Exchange Act of 1934.</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Non-GAAP Financial Measures in the Press Release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press release includes, as additional information regarding our operating results, our adjusted operating income and margin, adjusted income tax provision, adjusted net income and adjusted diluted earnings per share (collectively, “adjusted results”), which exclude the impact of equity-based compensation, expense related to an unusual health insurance claim, net of insurance recoveries, restructuring expenses, and related income tax effects.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These various measures are not in accordance with, or alternatives for, financial measures calculated in accordance with generally accepted accounting principles in the United States (“GAAP”) and may be different from similarly titled non-GAAP financial measures used by other companies. Non-GAAP financial measures should not be used as a substitute for, or considered superior to, measures of financial performance prepared in accordance with GAAP.</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Non-GAAP measures used in the press release exclude the impact of the items described above for the following reasons: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Equity-Based Compensation</w:t>
      </w:r>
      <w:r>
        <w:rPr>
          <w:rFonts w:ascii="Times New Roman" w:hAnsi="Times New Roman"/>
          <w:color w:val="000000"/>
          <w:sz w:val="22"/>
        </w:rPr>
        <w:t>: Equity-based compensation expense typically does not require cash settlement by the Company. We also exclude the tax benefits or deficiencies of vested stock awards caused by differences in the amount deductible for tax purposes related to the stock award from the compensation expense recorded for financial reporting purposes.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Unusual Health Insurance Claim, Net of Insurance Recoveries</w:t>
      </w:r>
      <w:r>
        <w:rPr>
          <w:rFonts w:ascii="Times New Roman" w:hAnsi="Times New Roman"/>
          <w:color w:val="000000"/>
          <w:sz w:val="22"/>
        </w:rPr>
        <w:t xml:space="preserve">: Due to the uncommonly large magnitude and nature of the health insurance claim and timing of related insurance recoveries, we do not believe that this expense is a typical cost that results from normal operating activities.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2"/>
        </w:rPr>
        <w:t>Restructuring Expense</w:t>
      </w:r>
      <w:r>
        <w:rPr>
          <w:rFonts w:ascii="Times New Roman" w:hAnsi="Times New Roman"/>
          <w:color w:val="000000"/>
          <w:sz w:val="22"/>
        </w:rPr>
        <w:t>: We do not believe that the restructuring expenses related to reductions in our workforce recorded in 2026 and 2025 are costs that result from normal operating activities. Rather, the event in 2026 related to strategic decisions to leverage increased operational efficiencies and focus investments on key strategic priorities, and the event in 2025 related to aligning our services capacity with customer demand which had been impacted by macro-economic uncertainty. We exclude these costs for adjusted non-GAAP results to facilitate period-to-period comparability of operating performance and to provide investors with supplemental information regarding the underlying performance of the business.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assess our operating performance using these adjusted measures, and we rely on adjusted results as primary measures to review and assess the operating performance of our management team in connection with our executive compensation and bonus plans. Further, we believe our peers also typically present non-GAAP results similarly adjusted.</w:t>
      </w:r>
    </w:p>
    <w:p>
      <w:pPr>
        <w:pStyle w:val="TextBody"/>
        <w:bidi w:val="0"/>
        <w:spacing w:before="240" w:after="283"/>
        <w:jc w:val="left"/>
        <w:rPr>
          <w:rFonts w:ascii="Times New Roman" w:hAnsi="Times New Roman"/>
          <w:sz w:val="20"/>
        </w:rPr>
      </w:pPr>
      <w:r>
        <w:rPr>
          <w:rFonts w:ascii="Times New Roman" w:hAnsi="Times New Roman"/>
          <w:color w:val="000000"/>
          <w:sz w:val="22"/>
        </w:rPr>
        <w:t>Management refers to adjusted results in making operating decisions because we believe they provide meaningful information regarding our operational performance and our ability to invest in research and development and fund capital expenditures and acquisitions. In addition, adjusted results facilitate management’s internal comparisons to our historical operating results and comparisons to competitors’ operating results.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We similarly believe reporting adjusted results facilitates investors’ understanding of our historical operating trends because it provides supplemental measurement information in evaluating the operating results of our business. We also believe that adjusted results provide a basis for comparisons to other companies in the industry and enable investors to evaluate our operating performance in a manner consistent with our internal basis of measurement.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Item 9.01 Financial Statements and Exhibits.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Exhibits.</w:t>
      </w:r>
    </w:p>
    <w:tbl>
      <w:tblPr>
        <w:tblW w:w="8522" w:type="dxa"/>
        <w:jc w:val="left"/>
        <w:tblInd w:w="0" w:type="dxa"/>
        <w:tblLayout w:type="fixed"/>
        <w:tblCellMar>
          <w:top w:w="28" w:type="dxa"/>
          <w:left w:w="28" w:type="dxa"/>
          <w:bottom w:w="28" w:type="dxa"/>
          <w:right w:w="28" w:type="dxa"/>
        </w:tblCellMar>
      </w:tblPr>
      <w:tblGrid>
        <w:gridCol w:w="916"/>
        <w:gridCol w:w="7606"/>
      </w:tblGrid>
      <w:tr>
        <w:trPr/>
        <w:tc>
          <w:tcPr>
            <w:tcW w:w="91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Heading2"/>
              <w:bidi w:val="0"/>
              <w:spacing w:before="240" w:after="283"/>
              <w:jc w:val="both"/>
              <w:rPr>
                <w:rFonts w:ascii="Times New Roman" w:hAnsi="Times New Roman"/>
                <w:color w:val="000000"/>
                <w:sz w:val="22"/>
              </w:rPr>
            </w:pPr>
            <w:bookmarkStart w:id="2" w:name="ole_link7"/>
            <w:bookmarkStart w:id="3" w:name="ole_link6"/>
            <w:bookmarkEnd w:id="2"/>
            <w:bookmarkEnd w:id="3"/>
            <w:r>
              <w:rPr>
                <w:rFonts w:ascii="Times New Roman" w:hAnsi="Times New Roman"/>
                <w:color w:val="000000"/>
                <w:sz w:val="22"/>
              </w:rPr>
              <w:t>Exhibit</w:t>
            </w:r>
          </w:p>
        </w:tc>
        <w:tc>
          <w:tcPr>
            <w:tcW w:w="7606" w:type="dxa"/>
            <w:tcBorders/>
            <w:tcMar>
              <w:top w:w="0" w:type="dxa"/>
              <w:left w:w="0" w:type="dxa"/>
              <w:bottom w:w="0" w:type="dxa"/>
              <w:right w:w="0" w:type="dxa"/>
            </w:tcMar>
            <w:vAlign w:val="center"/>
          </w:tcPr>
          <w:p>
            <w:pPr>
              <w:pStyle w:val="Heading2"/>
              <w:bidi w:val="0"/>
              <w:spacing w:before="240" w:after="283"/>
              <w:jc w:val="both"/>
              <w:rPr/>
            </w:pPr>
            <w:r>
              <w:rPr/>
              <w:t> </w:t>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Number</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u w:val="single"/>
              </w:rPr>
            </w:pPr>
            <w:r>
              <w:rPr>
                <w:rFonts w:ascii="Times New Roman" w:hAnsi="Times New Roman"/>
                <w:b/>
                <w:color w:val="000000"/>
                <w:sz w:val="22"/>
                <w:u w:val="single"/>
              </w:rPr>
              <w:t>Description</w:t>
            </w:r>
          </w:p>
        </w:tc>
      </w:tr>
      <w:tr>
        <w:trPr/>
        <w:tc>
          <w:tcPr>
            <w:tcW w:w="91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99.1</w:t>
            </w:r>
          </w:p>
        </w:tc>
        <w:tc>
          <w:tcPr>
            <w:tcW w:w="7606" w:type="dxa"/>
            <w:tcBorders/>
            <w:tcMar>
              <w:top w:w="0" w:type="dxa"/>
              <w:left w:w="0" w:type="dxa"/>
              <w:bottom w:w="0" w:type="dxa"/>
              <w:right w:w="0" w:type="dxa"/>
            </w:tcMar>
            <w:vAlign w:val="center"/>
          </w:tcPr>
          <w:p>
            <w:pPr>
              <w:pStyle w:val="TableContents"/>
              <w:bidi w:val="0"/>
              <w:spacing w:before="240" w:after="283"/>
              <w:jc w:val="left"/>
              <w:rPr/>
            </w:pPr>
            <w:hyperlink w:anchor="manh-ex99_1.htm">
              <w:r>
                <w:rPr>
                  <w:rStyle w:val="InternetLink"/>
                  <w:rFonts w:ascii="Times New Roman" w:hAnsi="Times New Roman"/>
                  <w:color w:val="0000FF"/>
                  <w:sz w:val="22"/>
                  <w:u w:val="single"/>
                </w:rPr>
                <w:t>Press Release, dated July 28, 2026</w:t>
              </w:r>
            </w:hyperlink>
            <w:hyperlink w:anchor="manh-ex99_1.htm">
              <w:r>
                <w:rPr>
                  <w:rStyle w:val="InternetLink"/>
                  <w:rFonts w:ascii="Times New Roman" w:hAnsi="Times New Roman"/>
                  <w:color w:val="0000FF"/>
                  <w:sz w:val="22"/>
                </w:rPr>
                <w:t xml:space="preserve"> </w:t>
              </w:r>
            </w:hyperlink>
          </w:p>
        </w:tc>
      </w:tr>
      <w:tr>
        <w:trPr/>
        <w:tc>
          <w:tcPr>
            <w:tcW w:w="91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104</w:t>
            </w:r>
          </w:p>
        </w:tc>
        <w:tc>
          <w:tcPr>
            <w:tcW w:w="76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spacing w:before="240" w:after="283"/>
        <w:jc w:val="both"/>
        <w:rPr/>
      </w:pPr>
      <w:r>
        <w:rPr/>
        <w:t> </w:t>
      </w:r>
    </w:p>
    <w:p>
      <w:pPr>
        <w:pStyle w:val="TextBody"/>
        <w:bidi w:val="0"/>
        <w:jc w:val="both"/>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SIGNATURES</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Company has duly caused this report to be signed on its behalf by the undersigned, hereunto duly authorized.</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Manhattan Associates,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i/>
          <w:color w:val="000000"/>
          <w:sz w:val="22"/>
          <w:u w:val="single"/>
        </w:rPr>
        <w:t>/s/</w:t>
      </w:r>
      <w:r>
        <w:rPr>
          <w:rFonts w:ascii="Times New Roman" w:hAnsi="Times New Roman"/>
          <w:color w:val="000000"/>
          <w:sz w:val="20"/>
          <w:u w:val="single"/>
        </w:rPr>
        <w:t xml:space="preserve"> </w:t>
      </w:r>
      <w:r>
        <w:rPr>
          <w:rFonts w:ascii="Times New Roman" w:hAnsi="Times New Roman"/>
          <w:color w:val="000000"/>
          <w:sz w:val="22"/>
          <w:u w:val="single"/>
        </w:rPr>
        <w:t xml:space="preserve">Linda Pinne </w:t>
      </w:r>
    </w:p>
    <w:p>
      <w:pPr>
        <w:pStyle w:val="TextBody"/>
        <w:bidi w:val="0"/>
        <w:jc w:val="both"/>
        <w:rPr>
          <w:rFonts w:ascii="Times New Roman" w:hAnsi="Times New Roman"/>
          <w:i/>
          <w:color w:val="000000"/>
          <w:sz w:val="22"/>
        </w:rPr>
      </w:pPr>
      <w:r>
        <w:rPr>
          <w:rFonts w:ascii="Times New Roman" w:hAnsi="Times New Roman"/>
          <w:i/>
          <w:color w:val="000000"/>
          <w:sz w:val="22"/>
        </w:rPr>
        <w:t>Linda Pinne</w:t>
      </w:r>
    </w:p>
    <w:p>
      <w:pPr>
        <w:pStyle w:val="TextBody"/>
        <w:bidi w:val="0"/>
        <w:jc w:val="both"/>
        <w:rPr>
          <w:rFonts w:ascii="Times New Roman" w:hAnsi="Times New Roman"/>
          <w:color w:val="000000"/>
          <w:sz w:val="22"/>
        </w:rPr>
      </w:pPr>
      <w:r>
        <w:rPr>
          <w:rFonts w:ascii="Times New Roman" w:hAnsi="Times New Roman"/>
          <w:color w:val="000000"/>
          <w:sz w:val="22"/>
        </w:rPr>
        <w:t>Senior Vice President, Chief Financial Officer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Dated: July 28,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manh-ex99_1.htm"/>
      <w:bookmarkStart w:id="5" w:name="ksmanhex99_1"/>
      <w:bookmarkEnd w:id="4"/>
      <w:bookmarkEnd w:id="5"/>
      <w:r>
        <w:rPr>
          <w:rFonts w:ascii="Arial" w:hAnsi="Arial"/>
          <w:b/>
          <w:color w:val="000000"/>
          <w:sz w:val="20"/>
        </w:rPr>
        <w:t>Exhibit 99.1</w:t>
      </w:r>
      <w:r>
        <w:br w:type="page"/>
      </w:r>
    </w:p>
    <w:p>
      <w:pPr>
        <w:pStyle w:val="TextBody"/>
        <w:bidi w:val="0"/>
        <w:jc w:val="right"/>
        <w:rPr/>
      </w:pPr>
      <w:r>
        <w:rPr/>
        <w:t> </w:t>
      </w:r>
    </w:p>
    <w:p>
      <w:pPr>
        <w:pStyle w:val="TextBody"/>
        <w:bidi w:val="0"/>
        <w:jc w:val="right"/>
        <w:rPr/>
      </w:pPr>
      <w:r>
        <w:rPr/>
        <w:t> </w:t>
      </w:r>
    </w:p>
    <w:tbl>
      <w:tblPr>
        <w:tblW w:w="8973" w:type="dxa"/>
        <w:jc w:val="left"/>
        <w:tblInd w:w="0" w:type="dxa"/>
        <w:tblLayout w:type="fixed"/>
        <w:tblCellMar>
          <w:top w:w="28" w:type="dxa"/>
          <w:left w:w="28" w:type="dxa"/>
          <w:bottom w:w="28" w:type="dxa"/>
          <w:right w:w="28" w:type="dxa"/>
        </w:tblCellMar>
      </w:tblPr>
      <w:tblGrid>
        <w:gridCol w:w="1096"/>
        <w:gridCol w:w="109"/>
        <w:gridCol w:w="2956"/>
        <w:gridCol w:w="146"/>
        <w:gridCol w:w="4666"/>
      </w:tblGrid>
      <w:tr>
        <w:trPr/>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4"/>
              </w:rPr>
            </w:pPr>
            <w:r>
              <w:rPr>
                <w:rFonts w:ascii="Arial" w:hAnsi="Arial"/>
                <w:b/>
                <w:color w:val="000000"/>
                <w:sz w:val="24"/>
              </w:rPr>
              <w:t>Contact: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Michael Bauer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Devika Goel</w:t>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4"/>
              </w:rPr>
              <w:t>VP, Investor Relations</w:t>
            </w:r>
            <w:r>
              <w:rPr>
                <w:rFonts w:ascii="Times New Roman" w:hAnsi="Times New Roman"/>
                <w:color w:val="000000"/>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Director, Corporate Communications &amp; PR</w:t>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Manhattan Associates,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Manhattan Associates, Inc.</w:t>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678-597-7538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678-597-6754</w:t>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 w:hAnsi="Arial"/>
                <w:color w:val="0033CC"/>
                <w:sz w:val="24"/>
              </w:rPr>
            </w:pPr>
            <w:r>
              <w:rPr>
                <w:rFonts w:ascii="Arial" w:hAnsi="Arial"/>
                <w:color w:val="0033CC"/>
                <w:sz w:val="24"/>
              </w:rPr>
              <w:t>mbauer@manh.com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 w:hAnsi="Arial"/>
                <w:color w:val="0033CC"/>
                <w:sz w:val="24"/>
              </w:rPr>
            </w:pPr>
            <w:r>
              <w:rPr>
                <w:rFonts w:ascii="Arial" w:hAnsi="Arial"/>
                <w:color w:val="0033CC"/>
                <w:sz w:val="24"/>
              </w:rPr>
              <w:t>dgoel@manh.com</w:t>
            </w:r>
          </w:p>
        </w:tc>
      </w:tr>
    </w:tbl>
    <w:p>
      <w:pPr>
        <w:pStyle w:val="TextBody"/>
        <w:bidi w:val="0"/>
        <w:spacing w:before="120" w:after="120"/>
        <w:jc w:val="center"/>
        <w:rPr/>
      </w:pPr>
      <w:r>
        <w:rPr/>
        <w:t> </w:t>
      </w:r>
    </w:p>
    <w:p>
      <w:pPr>
        <w:pStyle w:val="TextBody"/>
        <w:bidi w:val="0"/>
        <w:spacing w:before="0" w:after="120"/>
        <w:jc w:val="center"/>
        <w:rPr>
          <w:rFonts w:ascii="Times New Roman" w:hAnsi="Times New Roman"/>
          <w:sz w:val="20"/>
        </w:rPr>
      </w:pPr>
      <w:r>
        <w:rPr>
          <w:rFonts w:ascii="Arial" w:hAnsi="Arial"/>
          <w:b/>
          <w:color w:val="000000"/>
          <w:sz w:val="28"/>
        </w:rPr>
        <w:t>Manhattan Associates Reports Second Quarter Results</w:t>
      </w:r>
      <w:r>
        <w:rPr>
          <w:rFonts w:ascii="Times New Roman" w:hAnsi="Times New Roman"/>
          <w:color w:val="000000"/>
          <w:sz w:val="20"/>
        </w:rPr>
        <w:t xml:space="preserve"> </w:t>
      </w:r>
    </w:p>
    <w:p>
      <w:pPr>
        <w:pStyle w:val="TextBody"/>
        <w:bidi w:val="0"/>
        <w:spacing w:before="0" w:after="120"/>
        <w:jc w:val="center"/>
        <w:rPr>
          <w:rFonts w:ascii="Arial" w:hAnsi="Arial"/>
          <w:b/>
          <w:color w:val="000000"/>
          <w:sz w:val="22"/>
        </w:rPr>
      </w:pPr>
      <w:r>
        <w:rPr>
          <w:rFonts w:ascii="Arial" w:hAnsi="Arial"/>
          <w:b/>
          <w:color w:val="000000"/>
          <w:sz w:val="22"/>
        </w:rPr>
        <w:t>Cloud Revenue Increased 26% over Prior Year</w:t>
      </w:r>
    </w:p>
    <w:p>
      <w:pPr>
        <w:pStyle w:val="TextBody"/>
        <w:bidi w:val="0"/>
        <w:spacing w:before="0" w:after="120"/>
        <w:jc w:val="center"/>
        <w:rPr>
          <w:rFonts w:ascii="Arial" w:hAnsi="Arial"/>
          <w:b/>
          <w:color w:val="000000"/>
          <w:sz w:val="22"/>
        </w:rPr>
      </w:pPr>
      <w:r>
        <w:rPr>
          <w:rFonts w:ascii="Arial" w:hAnsi="Arial"/>
          <w:b/>
          <w:color w:val="000000"/>
          <w:sz w:val="22"/>
        </w:rPr>
        <w:t>RPO Increased 23% over Prior Year</w:t>
      </w:r>
    </w:p>
    <w:p>
      <w:pPr>
        <w:pStyle w:val="TextBody"/>
        <w:bidi w:val="0"/>
        <w:spacing w:before="120" w:after="240"/>
        <w:jc w:val="left"/>
        <w:rPr>
          <w:rFonts w:ascii="Times New Roman" w:hAnsi="Times New Roman"/>
          <w:sz w:val="20"/>
        </w:rPr>
      </w:pPr>
      <w:r>
        <w:rPr>
          <w:rFonts w:ascii="Arial" w:hAnsi="Arial"/>
          <w:b/>
          <w:color w:val="000000"/>
          <w:sz w:val="22"/>
        </w:rPr>
        <w:t>ATLANTA – July 28, 2026 –</w:t>
      </w:r>
      <w:r>
        <w:rPr>
          <w:rFonts w:ascii="Times New Roman" w:hAnsi="Times New Roman"/>
          <w:color w:val="000000"/>
          <w:sz w:val="20"/>
        </w:rPr>
        <w:t xml:space="preserve"> </w:t>
      </w:r>
      <w:r>
        <w:rPr>
          <w:rFonts w:ascii="Arial" w:hAnsi="Arial"/>
          <w:color w:val="000000"/>
          <w:sz w:val="22"/>
        </w:rPr>
        <w:t>Leading Supply Chain and Omnichannel Commerce Solutions provider Manhattan Associates Inc. (NASDAQ: MANH) today reported revenue of $297.8 million for the second quarter ended June 30, 2026, compared to $272.4 million in Q2 2025. GAAP diluted earnings per share for Q2 2026 was $0.85 compared to $0.93 in Q2 2025. Non-GAAP adjusted diluted earnings per share for Q2 2026 was $1.39 compared to $1.31 in Q2 2025.</w:t>
      </w:r>
    </w:p>
    <w:p>
      <w:pPr>
        <w:pStyle w:val="TextBody"/>
        <w:bidi w:val="0"/>
        <w:spacing w:before="0" w:after="240"/>
        <w:jc w:val="left"/>
        <w:rPr>
          <w:color w:val="000000"/>
        </w:rPr>
      </w:pPr>
      <w:r>
        <w:rPr>
          <w:color w:val="000000"/>
        </w:rPr>
        <w:t>“</w:t>
      </w:r>
      <w:r>
        <w:rPr>
          <w:rFonts w:ascii="Arial" w:hAnsi="Arial"/>
          <w:color w:val="000000"/>
          <w:sz w:val="22"/>
        </w:rPr>
        <w:t>Manhattan delivered record Q2 and first half results. On strong demand, we posted our third consecutive record bookings quarter and once again accelerated our revenue growth,” said Manhattan's President and CEO Eric Clark.</w:t>
      </w:r>
    </w:p>
    <w:p>
      <w:pPr>
        <w:pStyle w:val="TextBody"/>
        <w:bidi w:val="0"/>
        <w:spacing w:before="0" w:after="240"/>
        <w:jc w:val="left"/>
        <w:rPr/>
      </w:pPr>
      <w:r>
        <w:rPr>
          <w:color w:val="000000"/>
        </w:rPr>
        <w:t>“</w:t>
      </w:r>
      <w:r>
        <w:rPr>
          <w:rFonts w:ascii="Arial" w:hAnsi="Arial"/>
          <w:color w:val="000000"/>
          <w:sz w:val="22"/>
        </w:rPr>
        <w:t>While mindful of the continued global macro volatility, we are confident in our business momentum and our ability to deliver successful customer outcomes. As Manhattan’s product advantage continues to widen and our targeted go-to-market investments gain traction, we believe we are well positioned to continue to gain market share in the large supply chain commerce market,” Mr. Clark concluded.</w:t>
      </w:r>
      <w:r>
        <w:rPr>
          <w:rFonts w:ascii="Times New Roman" w:hAnsi="Times New Roman"/>
          <w:color w:val="000000"/>
          <w:sz w:val="20"/>
        </w:rPr>
        <w:t xml:space="preserve"> </w:t>
      </w:r>
    </w:p>
    <w:p>
      <w:pPr>
        <w:pStyle w:val="TextBody"/>
        <w:bidi w:val="0"/>
        <w:spacing w:before="0" w:after="240"/>
        <w:jc w:val="left"/>
        <w:rPr>
          <w:rFonts w:ascii="Arial" w:hAnsi="Arial"/>
          <w:b/>
          <w:color w:val="000000"/>
          <w:sz w:val="22"/>
        </w:rPr>
      </w:pPr>
      <w:r>
        <w:rPr>
          <w:rFonts w:ascii="Arial" w:hAnsi="Arial"/>
          <w:b/>
          <w:color w:val="000000"/>
          <w:sz w:val="22"/>
        </w:rPr>
        <w:t>SECOND QUARTER 2026 FINANCIAL SUMMARY: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Consolidated total revenue was $297.8 million for Q2 2026, compared to $272.4 million for Q2 2025.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Arial" w:hAnsi="Arial"/>
          <w:color w:val="000000"/>
          <w:sz w:val="22"/>
        </w:rPr>
      </w:pPr>
      <w:r>
        <w:rPr>
          <w:rFonts w:ascii="Arial" w:hAnsi="Arial"/>
          <w:color w:val="000000"/>
          <w:sz w:val="22"/>
        </w:rPr>
        <w:t xml:space="preserve">Cloud subscription revenue was $126.7 million for Q2 2026, compared to $100.4 million for Q2 2025.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Arial" w:hAnsi="Arial"/>
          <w:color w:val="000000"/>
          <w:sz w:val="22"/>
        </w:rPr>
      </w:pPr>
      <w:r>
        <w:rPr>
          <w:rFonts w:ascii="Arial" w:hAnsi="Arial"/>
          <w:color w:val="000000"/>
          <w:sz w:val="22"/>
        </w:rPr>
        <w:t>Services revenue was $133.0 million for Q2 2026, compared to $128.9 million for Q2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rPr>
        <w:t>GAAP diluted earnings per share was $0.85</w:t>
      </w:r>
      <w:r>
        <w:rPr>
          <w:color w:val="000000"/>
        </w:rPr>
        <w:t xml:space="preserve"> </w:t>
      </w:r>
      <w:r>
        <w:rPr>
          <w:rFonts w:ascii="Arial" w:hAnsi="Arial"/>
          <w:color w:val="000000"/>
          <w:sz w:val="22"/>
        </w:rPr>
        <w:t>for Q2 2026, compared to $0.93</w:t>
      </w:r>
      <w:r>
        <w:rPr>
          <w:color w:val="FF0000"/>
        </w:rPr>
        <w:t xml:space="preserve"> </w:t>
      </w:r>
      <w:r>
        <w:rPr>
          <w:rFonts w:ascii="Arial" w:hAnsi="Arial"/>
          <w:color w:val="000000"/>
          <w:sz w:val="22"/>
        </w:rPr>
        <w:t>for Q2 2025.</w:t>
      </w:r>
    </w:p>
    <w:p>
      <w:pPr>
        <w:pStyle w:val="TextBody"/>
        <w:bidi w:val="0"/>
        <w:jc w:val="center"/>
        <w:rPr/>
      </w:pPr>
      <w:r>
        <w:rPr/>
        <w:drawing>
          <wp:inline distT="0" distB="0" distL="0" distR="0">
            <wp:extent cx="68389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895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2"/>
        </w:rPr>
        <w:t>Adjusted diluted earnings per share, a non-GAAP measure, was $1.39</w:t>
      </w:r>
      <w:r>
        <w:rPr>
          <w:color w:val="000000"/>
        </w:rPr>
        <w:t xml:space="preserve"> </w:t>
      </w:r>
      <w:r>
        <w:rPr>
          <w:rFonts w:ascii="Arial" w:hAnsi="Arial"/>
          <w:color w:val="000000"/>
          <w:sz w:val="22"/>
        </w:rPr>
        <w:t>for Q2 2026, compared to $1.31 for Q2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GAAP operating income was $66.2 million for Q2 2026, compared to $73.8 million for Q2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Adjusted operating income, a non-GAAP measure, was $103.9 million for Q2 2026, compared to $101.1 million for Q2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Cash flow from operations was $90.7 million for Q2 2026, compared to $74.0 million for Q2 2025.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Days Sales Outstanding was 67 days at June 30, 2026, and 72 days at March 31, 2026.</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Cash totaled $186.1 million at June 30, 2026, compared to $226.1 million at March 31, 2026.</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RPO increased to $2.47 billion as of June 30, 2026, compared to $2.35 billion as of March 31, 2026.</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During the three months ended June 30, 2026, Manhattan repurchased 874,029 shares of its common stock under the share repurchase program authorized by our Board of Directors for a total investment of $125.0 million. In March 2026, our Board approved an increase to Manhattan's share repurchase authority from $100 million to $500 million. As of the end of the quarter, approximately $225.0 million remained under the existing March 2026 repurchase authority.</w:t>
      </w:r>
    </w:p>
    <w:p>
      <w:pPr>
        <w:pStyle w:val="TextBody"/>
        <w:bidi w:val="0"/>
        <w:spacing w:before="120" w:after="240"/>
        <w:jc w:val="left"/>
        <w:rPr>
          <w:rFonts w:ascii="Arial" w:hAnsi="Arial"/>
          <w:b/>
          <w:color w:val="000000"/>
          <w:sz w:val="22"/>
        </w:rPr>
      </w:pPr>
      <w:r>
        <w:rPr>
          <w:rFonts w:ascii="Arial" w:hAnsi="Arial"/>
          <w:b/>
          <w:color w:val="000000"/>
          <w:sz w:val="22"/>
        </w:rPr>
        <w:t>SIX MONTH 2026 FINANCIAL SUMMARY:</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Consolidated total revenue for the six months ended June 30, 2026, was $580.0 million, compared to $535.2 million for the six months ended June 30, 2025.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Arial" w:hAnsi="Arial"/>
          <w:color w:val="000000"/>
          <w:sz w:val="22"/>
        </w:rPr>
      </w:pPr>
      <w:r>
        <w:rPr>
          <w:rFonts w:ascii="Arial" w:hAnsi="Arial"/>
          <w:color w:val="000000"/>
          <w:sz w:val="22"/>
        </w:rPr>
        <w:t xml:space="preserve">Cloud subscription revenue was $243.8 million for the six months ended June 30, 2026, compared to $194.7 million for the six months ended June 30, 2025.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left"/>
        <w:rPr>
          <w:rFonts w:ascii="Arial" w:hAnsi="Arial"/>
          <w:color w:val="000000"/>
          <w:sz w:val="22"/>
        </w:rPr>
      </w:pPr>
      <w:r>
        <w:rPr>
          <w:rFonts w:ascii="Arial" w:hAnsi="Arial"/>
          <w:color w:val="000000"/>
          <w:sz w:val="22"/>
        </w:rPr>
        <w:t>Services revenue was $258.8 million for the six months ended June 30, 2026, compared to $250.0 million for the six months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GAAP diluted earnings per share for the six months ended June 30, 2026, was $1.67, compared to $1.78 for the six months ended June 30, 2025. </w:t>
      </w:r>
    </w:p>
    <w:p>
      <w:pPr>
        <w:pStyle w:val="TextBody"/>
        <w:bidi w:val="0"/>
        <w:jc w:val="center"/>
        <w:rPr/>
      </w:pPr>
      <w:r>
        <w:rPr/>
        <w:drawing>
          <wp:inline distT="0" distB="0" distL="0" distR="0">
            <wp:extent cx="685800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Adjusted diluted earnings per share, a non-GAAP measure, was $2.62 for the six months ended June 30, 2026, compared to $2.50 for the six months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GAAP operating income was $131.2 million for the six months ended June 30, 2026, compared to $137.0 million for the six months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 xml:space="preserve">Adjusted operating income, a non-GAAP measure, was $195.3 million for the six months ended June 30, 2026, compared to $192.3 million for the six months ended June 30, 2025.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Cash flow from operations was $174.7 million for the six months ended June 30, 2026, compared to $149.3 million for the six months ended June 30, 2025.</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2"/>
        </w:rPr>
      </w:pPr>
      <w:r>
        <w:rPr>
          <w:rFonts w:ascii="Arial" w:hAnsi="Arial"/>
          <w:color w:val="000000"/>
          <w:sz w:val="22"/>
        </w:rPr>
        <w:t>During the six months ended June 30, 2026, Manhattan repurchased 1,917,341 shares of its common stock under the share repurchase program authorized by our Board of Directors, for a total investment of $275.0 million. In March 2026, our Board approved an increase to Manhattan's share repurchase authority from $100 million to $500 million. As of the end of the quarter, approximately $225.0 million remained under the existing March 2026 repurchase authority.</w:t>
      </w:r>
    </w:p>
    <w:p>
      <w:pPr>
        <w:pStyle w:val="TextBody"/>
        <w:bidi w:val="0"/>
        <w:jc w:val="left"/>
        <w:rPr/>
      </w:pPr>
      <w:r>
        <w:rPr/>
        <w:t> </w:t>
      </w:r>
    </w:p>
    <w:p>
      <w:pPr>
        <w:pStyle w:val="TextBody"/>
        <w:bidi w:val="0"/>
        <w:jc w:val="center"/>
        <w:rPr/>
      </w:pPr>
      <w:r>
        <w:rPr/>
        <w:drawing>
          <wp:inline distT="0" distB="0" distL="0" distR="0">
            <wp:extent cx="685800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240" w:after="120"/>
        <w:jc w:val="left"/>
        <w:rPr>
          <w:rFonts w:ascii="Arial" w:hAnsi="Arial"/>
          <w:b/>
          <w:color w:val="000000"/>
          <w:sz w:val="22"/>
        </w:rPr>
      </w:pPr>
      <w:r>
        <w:rPr>
          <w:rFonts w:ascii="Arial" w:hAnsi="Arial"/>
          <w:b/>
          <w:color w:val="000000"/>
          <w:sz w:val="22"/>
        </w:rPr>
        <w:t>2026 GUIDANCE</w:t>
      </w:r>
    </w:p>
    <w:p>
      <w:pPr>
        <w:pStyle w:val="TextBody"/>
        <w:bidi w:val="0"/>
        <w:spacing w:before="0" w:after="120"/>
        <w:jc w:val="left"/>
        <w:rPr>
          <w:rFonts w:ascii="Arial" w:hAnsi="Arial"/>
          <w:color w:val="000000"/>
          <w:sz w:val="22"/>
        </w:rPr>
      </w:pPr>
      <w:r>
        <w:rPr>
          <w:rFonts w:ascii="Arial" w:hAnsi="Arial"/>
          <w:color w:val="000000"/>
          <w:sz w:val="22"/>
        </w:rPr>
        <w:t>Manhattan provides the following revenue, operating margin, and diluted earnings per share guidance for the full year 2026:</w:t>
      </w:r>
    </w:p>
    <w:tbl>
      <w:tblPr>
        <w:tblW w:w="10205" w:type="dxa"/>
        <w:jc w:val="left"/>
        <w:tblInd w:w="0" w:type="dxa"/>
        <w:tblLayout w:type="fixed"/>
        <w:tblCellMar>
          <w:top w:w="28" w:type="dxa"/>
          <w:left w:w="28" w:type="dxa"/>
          <w:bottom w:w="28" w:type="dxa"/>
          <w:right w:w="28" w:type="dxa"/>
        </w:tblCellMar>
      </w:tblPr>
      <w:tblGrid>
        <w:gridCol w:w="261"/>
        <w:gridCol w:w="4835"/>
        <w:gridCol w:w="1157"/>
        <w:gridCol w:w="249"/>
        <w:gridCol w:w="1157"/>
        <w:gridCol w:w="249"/>
        <w:gridCol w:w="888"/>
        <w:gridCol w:w="343"/>
        <w:gridCol w:w="867"/>
        <w:gridCol w:w="199"/>
      </w:tblGrid>
      <w:tr>
        <w:trPr/>
        <w:tc>
          <w:tcPr>
            <w:tcW w:w="261" w:type="dxa"/>
            <w:tcBorders/>
            <w:vAlign w:val="center"/>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1" w:type="dxa"/>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pPr>
            <w:r>
              <w:rPr/>
              <w:t> </w:t>
            </w:r>
          </w:p>
        </w:tc>
        <w:tc>
          <w:tcPr>
            <w:tcW w:w="48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109" w:type="dxa"/>
            <w:gridSpan w:val="8"/>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Guidance Range - 2026 Full Year</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6"/>
              </w:rPr>
            </w:pPr>
            <w:r>
              <w:rPr>
                <w:rFonts w:ascii="Arial" w:hAnsi="Arial"/>
                <w:b/>
                <w:i/>
                <w:color w:val="000000"/>
                <w:sz w:val="16"/>
              </w:rPr>
              <w:t>($'s in millions, except operating margin and EPS)</w:t>
            </w:r>
          </w:p>
        </w:tc>
        <w:tc>
          <w:tcPr>
            <w:tcW w:w="256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Range</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Growth Range</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 revenue</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$1,160</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$1,166</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8"/>
                <w:u w:val="single"/>
              </w:rPr>
            </w:pPr>
            <w:r>
              <w:rPr>
                <w:rFonts w:ascii="Arial" w:hAnsi="Arial"/>
                <w:b/>
                <w:i/>
                <w:color w:val="000000"/>
                <w:sz w:val="18"/>
                <w:u w:val="single"/>
              </w:rPr>
              <w:t>Operating Margin:</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GAAP operating margin</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24.2%</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24.4%</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100"/>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Equity-based compensation</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10.1%</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10.1%</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100"/>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b/>
                <w:color w:val="000000"/>
                <w:sz w:val="18"/>
              </w:rPr>
              <w:t xml:space="preserve">Restructuring expense </w:t>
            </w:r>
            <w:r>
              <w:rPr>
                <w:rFonts w:ascii="Arial" w:hAnsi="Arial"/>
                <w:b/>
                <w:color w:val="000000"/>
                <w:sz w:val="12"/>
              </w:rPr>
              <w:t>(3)</w:t>
            </w:r>
          </w:p>
        </w:tc>
        <w:tc>
          <w:tcPr>
            <w:tcW w:w="115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w:t>
            </w:r>
          </w:p>
        </w:tc>
        <w:tc>
          <w:tcPr>
            <w:tcW w:w="249"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5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0.7%</w:t>
            </w:r>
          </w:p>
        </w:tc>
        <w:tc>
          <w:tcPr>
            <w:tcW w:w="249"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Adjusted operating margin</w:t>
            </w:r>
            <w:r>
              <w:rPr>
                <w:rFonts w:ascii="Arial" w:hAnsi="Arial"/>
                <w:b/>
                <w:color w:val="000000"/>
                <w:sz w:val="12"/>
              </w:rPr>
              <w:t>(1)</w:t>
            </w:r>
          </w:p>
        </w:tc>
        <w:tc>
          <w:tcPr>
            <w:tcW w:w="115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35.0%</w:t>
            </w:r>
          </w:p>
        </w:tc>
        <w:tc>
          <w:tcPr>
            <w:tcW w:w="24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5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35.2%</w:t>
            </w:r>
          </w:p>
        </w:tc>
        <w:tc>
          <w:tcPr>
            <w:tcW w:w="24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8"/>
                <w:u w:val="single"/>
              </w:rPr>
            </w:pPr>
            <w:r>
              <w:rPr>
                <w:rFonts w:ascii="Arial" w:hAnsi="Arial"/>
                <w:b/>
                <w:i/>
                <w:color w:val="000000"/>
                <w:sz w:val="18"/>
                <w:u w:val="single"/>
              </w:rPr>
              <w:t>Diluted earnings per share (EPS):</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GAAP EPS</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$3.59</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$3.65</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100"/>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Equity-based compensation</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1.71</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1.71</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100"/>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b/>
                <w:color w:val="000000"/>
                <w:sz w:val="18"/>
              </w:rPr>
              <w:t xml:space="preserve">Tax deficiency of stock awards vested </w:t>
            </w:r>
            <w:r>
              <w:rPr>
                <w:rFonts w:ascii="Arial" w:hAnsi="Arial"/>
                <w:b/>
                <w:color w:val="000000"/>
                <w:sz w:val="12"/>
              </w:rPr>
              <w:t>(2)</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0.04</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CCFFC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0.04</w:t>
            </w:r>
          </w:p>
        </w:tc>
        <w:tc>
          <w:tcPr>
            <w:tcW w:w="249"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100"/>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b/>
                <w:color w:val="000000"/>
                <w:sz w:val="18"/>
              </w:rPr>
              <w:t xml:space="preserve">Restructuring expense </w:t>
            </w:r>
            <w:r>
              <w:rPr>
                <w:rFonts w:ascii="Arial" w:hAnsi="Arial"/>
                <w:b/>
                <w:color w:val="000000"/>
                <w:sz w:val="12"/>
              </w:rPr>
              <w:t>(3)</w:t>
            </w:r>
          </w:p>
        </w:tc>
        <w:tc>
          <w:tcPr>
            <w:tcW w:w="115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0.10</w:t>
            </w:r>
          </w:p>
        </w:tc>
        <w:tc>
          <w:tcPr>
            <w:tcW w:w="249"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57"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0.10</w:t>
            </w:r>
          </w:p>
        </w:tc>
        <w:tc>
          <w:tcPr>
            <w:tcW w:w="249"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b/>
                <w:color w:val="000000"/>
                <w:sz w:val="18"/>
              </w:rPr>
              <w:t>Adjusted EPS</w:t>
            </w:r>
            <w:r>
              <w:rPr>
                <w:rFonts w:ascii="Arial" w:hAnsi="Arial"/>
                <w:b/>
                <w:color w:val="000000"/>
                <w:sz w:val="12"/>
              </w:rPr>
              <w:t>(1)</w:t>
            </w:r>
          </w:p>
        </w:tc>
        <w:tc>
          <w:tcPr>
            <w:tcW w:w="115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$5.44</w:t>
            </w:r>
          </w:p>
        </w:tc>
        <w:tc>
          <w:tcPr>
            <w:tcW w:w="24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5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$5.50</w:t>
            </w:r>
          </w:p>
        </w:tc>
        <w:tc>
          <w:tcPr>
            <w:tcW w:w="24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8"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w:t>
            </w:r>
          </w:p>
        </w:tc>
        <w:tc>
          <w:tcPr>
            <w:tcW w:w="34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CFFC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4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74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 xml:space="preserve">(1) </w:t>
            </w:r>
            <w:r>
              <w:rPr>
                <w:rFonts w:ascii="Arial" w:hAnsi="Arial"/>
                <w:color w:val="000000"/>
                <w:sz w:val="16"/>
              </w:rPr>
              <w:t>Adjusted operating margin and adjusted EPS are non-GAAP measures that exclude the impact of equity-based compensation,</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745" w:type="dxa"/>
            <w:gridSpan w:val="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expense related to an unusual health insurance claim, restructuring expense, and the related income tax effects, if applicable.</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74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 xml:space="preserve">(2) </w:t>
            </w:r>
            <w:r>
              <w:rPr>
                <w:rFonts w:ascii="Arial" w:hAnsi="Arial"/>
                <w:color w:val="000000"/>
                <w:sz w:val="16"/>
              </w:rPr>
              <w:t>The tax deficiency (benefit) on stock vesting occurred primarily in the first quarter of 2026.</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61"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74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 xml:space="preserve">(3) </w:t>
            </w:r>
            <w:r>
              <w:rPr>
                <w:rFonts w:ascii="Arial" w:hAnsi="Arial"/>
                <w:color w:val="000000"/>
                <w:sz w:val="16"/>
              </w:rPr>
              <w:t>On June 1, 2026, we reduced our global headcount by approximately 6%, leveraging increased operational efficiencies and allowing us to focus investments on key strategic priorities. We recorded pre-tax restructuring expense in the second quarter of 2026 and exclude the amount from adjusted non-GAAP results.</w:t>
            </w:r>
          </w:p>
        </w:tc>
        <w:tc>
          <w:tcPr>
            <w:tcW w:w="1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61"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974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spacing w:before="0" w:after="240"/>
        <w:jc w:val="left"/>
        <w:rPr>
          <w:rFonts w:ascii="Arial" w:hAnsi="Arial"/>
          <w:color w:val="000000"/>
          <w:sz w:val="22"/>
        </w:rPr>
      </w:pPr>
      <w:r>
        <w:rPr>
          <w:rFonts w:ascii="Arial" w:hAnsi="Arial"/>
          <w:color w:val="000000"/>
          <w:sz w:val="22"/>
        </w:rPr>
        <w:br/>
        <w:t>Manhattan currently intends to make public certain expectations with respect to future financial performance. Those statements, including the guidance provided above, are forward looking. Actual results may differ materially. See our cautionary note regarding “forward-looking statements” below.</w:t>
      </w:r>
    </w:p>
    <w:p>
      <w:pPr>
        <w:pStyle w:val="TextBody"/>
        <w:bidi w:val="0"/>
        <w:spacing w:before="0" w:after="240"/>
        <w:jc w:val="left"/>
        <w:rPr>
          <w:rFonts w:ascii="Times New Roman" w:hAnsi="Times New Roman"/>
          <w:sz w:val="20"/>
        </w:rPr>
      </w:pPr>
      <w:r>
        <w:rPr>
          <w:rFonts w:ascii="Arial" w:hAnsi="Arial"/>
          <w:color w:val="000000"/>
          <w:sz w:val="22"/>
        </w:rPr>
        <w:t xml:space="preserve">Manhattan will make this earnings release and a recording of the conference call referenced below available on the investor relations section of our website at </w:t>
      </w:r>
      <w:r>
        <w:rPr>
          <w:rFonts w:ascii="Arial" w:hAnsi="Arial"/>
          <w:sz w:val="22"/>
        </w:rPr>
        <w:t>ir.manh.com</w:t>
      </w:r>
      <w:r>
        <w:rPr>
          <w:rFonts w:ascii="Arial" w:hAnsi="Arial"/>
          <w:color w:val="000000"/>
          <w:sz w:val="22"/>
        </w:rPr>
        <w:t>. Following publication of this earnings release, any expectations with respect to future financial performance contained in this release or the conference call, including the guidance, should be considered historical only, and Manhattan disclaims any obligation to update them.</w:t>
      </w:r>
    </w:p>
    <w:p>
      <w:pPr>
        <w:pStyle w:val="TextBody"/>
        <w:bidi w:val="0"/>
        <w:jc w:val="center"/>
        <w:rPr/>
      </w:pPr>
      <w:r>
        <w:rPr/>
        <w:drawing>
          <wp:inline distT="0" distB="0" distL="0" distR="0">
            <wp:extent cx="685800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left"/>
        <w:rPr>
          <w:rFonts w:ascii="Arial" w:hAnsi="Arial"/>
          <w:b/>
          <w:color w:val="000000"/>
          <w:sz w:val="22"/>
        </w:rPr>
      </w:pPr>
      <w:r>
        <w:rPr>
          <w:rFonts w:ascii="Arial" w:hAnsi="Arial"/>
          <w:b/>
          <w:color w:val="000000"/>
          <w:sz w:val="22"/>
        </w:rPr>
        <w:t>CONFERENCE CALL</w:t>
      </w:r>
    </w:p>
    <w:p>
      <w:pPr>
        <w:pStyle w:val="TextBody"/>
        <w:bidi w:val="0"/>
        <w:spacing w:before="0" w:after="240"/>
        <w:jc w:val="left"/>
        <w:rPr>
          <w:rFonts w:ascii="Times New Roman" w:hAnsi="Times New Roman"/>
          <w:sz w:val="20"/>
        </w:rPr>
      </w:pPr>
      <w:r>
        <w:rPr>
          <w:rFonts w:ascii="Arial" w:hAnsi="Arial"/>
          <w:color w:val="000000"/>
          <w:sz w:val="22"/>
        </w:rPr>
        <w:t xml:space="preserve">Manhattan’s conference call regarding its second quarter financial results will be held today, July 28, 2026, at 4:30 p.m. Eastern Time. We also will discuss our business and expectations for the year and next quarter in additional detail during the call. We invite investors to a live webcast of the conference call through the Investor Relations section of our website at </w:t>
      </w:r>
      <w:r>
        <w:rPr>
          <w:rFonts w:ascii="Arial" w:hAnsi="Arial"/>
          <w:sz w:val="22"/>
        </w:rPr>
        <w:t>ir.manh.com</w:t>
      </w:r>
      <w:r>
        <w:rPr>
          <w:rFonts w:ascii="Arial" w:hAnsi="Arial"/>
          <w:color w:val="000000"/>
          <w:sz w:val="22"/>
        </w:rPr>
        <w:t>. To listen to the live webcast, please go to the website at least 15 minutes before the call to download and install any necessary audio software. The Internet webcast will be available until Manhattan Associates’ third quarter 2026 earnings release.</w:t>
      </w:r>
    </w:p>
    <w:p>
      <w:pPr>
        <w:pStyle w:val="TextBody"/>
        <w:bidi w:val="0"/>
        <w:spacing w:before="0" w:after="240"/>
        <w:jc w:val="left"/>
        <w:rPr>
          <w:rFonts w:ascii="Arial" w:hAnsi="Arial"/>
          <w:b/>
          <w:color w:val="000000"/>
          <w:sz w:val="22"/>
        </w:rPr>
      </w:pPr>
      <w:r>
        <w:rPr>
          <w:rFonts w:ascii="Arial" w:hAnsi="Arial"/>
          <w:b/>
          <w:color w:val="000000"/>
          <w:sz w:val="22"/>
        </w:rPr>
        <w:t>GAAP VERSUS NON-GAAP PRESENTATION</w:t>
      </w:r>
    </w:p>
    <w:p>
      <w:pPr>
        <w:pStyle w:val="TextBody"/>
        <w:bidi w:val="0"/>
        <w:spacing w:before="0" w:after="240"/>
        <w:jc w:val="left"/>
        <w:rPr>
          <w:rFonts w:ascii="Times New Roman" w:hAnsi="Times New Roman"/>
          <w:sz w:val="20"/>
        </w:rPr>
      </w:pPr>
      <w:r>
        <w:rPr>
          <w:rFonts w:ascii="Arial" w:hAnsi="Arial"/>
          <w:color w:val="000000"/>
          <w:sz w:val="22"/>
        </w:rPr>
        <w:t>Manhattan provides adjusted operating income and margin, adjusted income tax provision, adjusted net income, and adjusted diluted earnings per share in this press release as additional information regarding our historical and projected operating results. These measures are not in accordance with, or alternatives to, GAAP, and may be different from similarly titled non-GAAP measures used by other companies. Manhattan believes the presentation of these non-GAAP financial measures facilitates investors’ ability to understand and compare our results and guidance, because the measures provide supplemental information in evaluating the operating results of our business, as distinct from results that include items not indicative of ongoing operating results, and because we believe our peers typically publish similar non-GAAP measures. This release should be read in conjunction with Manhattan's Form 8-K earnings release filing for the three and six months ended June 30, 2026.</w:t>
      </w:r>
      <w:r>
        <w:rPr>
          <w:rFonts w:ascii="Times New Roman" w:hAnsi="Times New Roman"/>
          <w:color w:val="000000"/>
          <w:sz w:val="20"/>
        </w:rPr>
        <w:t xml:space="preserve"> </w:t>
      </w:r>
    </w:p>
    <w:p>
      <w:pPr>
        <w:pStyle w:val="TextBody"/>
        <w:bidi w:val="0"/>
        <w:spacing w:before="0" w:after="240"/>
        <w:jc w:val="left"/>
        <w:rPr>
          <w:rFonts w:ascii="Arial" w:hAnsi="Arial"/>
          <w:color w:val="000000"/>
          <w:sz w:val="22"/>
        </w:rPr>
      </w:pPr>
      <w:r>
        <w:rPr>
          <w:rFonts w:ascii="Arial" w:hAnsi="Arial"/>
          <w:color w:val="000000"/>
          <w:sz w:val="22"/>
        </w:rPr>
        <w:t>Non-GAAP adjusted operating income and margin, adjusted income tax provision, adjusted net income, and adjusted diluted earnings per share exclude the impact of equity-based compensation, an expense – net of insurance recoveries, related to an unusual health insurance claim, and restructuring expense – net of income tax effects, collectively. They also exclude the tax benefits or deficiencies of vested stock awards caused by differences in the amount deductible for tax purposes from the compensation expense recorded for financial reporting purposes. We include reconciliations of Manhattan's GAAP financial measures to non-GAAP adjustments in the supplemental information attached to this release.</w:t>
      </w:r>
    </w:p>
    <w:p>
      <w:pPr>
        <w:pStyle w:val="TextBody"/>
        <w:bidi w:val="0"/>
        <w:jc w:val="center"/>
        <w:rPr/>
      </w:pPr>
      <w:r>
        <w:rPr/>
        <w:drawing>
          <wp:inline distT="0" distB="0" distL="0" distR="0">
            <wp:extent cx="6858000"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0" w:after="240"/>
        <w:jc w:val="left"/>
        <w:rPr>
          <w:rFonts w:ascii="Arial" w:hAnsi="Arial"/>
          <w:b/>
          <w:color w:val="000000"/>
          <w:sz w:val="22"/>
        </w:rPr>
      </w:pPr>
      <w:r>
        <w:rPr>
          <w:rFonts w:ascii="Arial" w:hAnsi="Arial"/>
          <w:b/>
          <w:color w:val="000000"/>
          <w:sz w:val="22"/>
        </w:rPr>
        <w:t>ABOUT MANHATTAN ASSOCIATES</w:t>
      </w:r>
    </w:p>
    <w:p>
      <w:pPr>
        <w:pStyle w:val="TextBody"/>
        <w:bidi w:val="0"/>
        <w:spacing w:before="0" w:after="240"/>
        <w:jc w:val="left"/>
        <w:rPr>
          <w:rFonts w:ascii="Arial" w:hAnsi="Arial"/>
          <w:color w:val="000000"/>
          <w:sz w:val="22"/>
        </w:rPr>
      </w:pPr>
      <w:r>
        <w:rPr>
          <w:rFonts w:ascii="Arial" w:hAnsi="Arial"/>
          <w:color w:val="000000"/>
          <w:sz w:val="22"/>
        </w:rPr>
        <w:t>Manhattan Associates is a global technology leader, providing supply chain and omnichannel commerce solutions with unmatched AI capabilities. We design, build and offer best-in-class, AI-powered, cloud-based solutions that drive resilience and efficiency for businesses. We enable enterprises to uniquely unify front-end sales with back-end supply chain execution.</w:t>
      </w:r>
    </w:p>
    <w:p>
      <w:pPr>
        <w:pStyle w:val="TextBody"/>
        <w:bidi w:val="0"/>
        <w:spacing w:before="0" w:after="240"/>
        <w:jc w:val="left"/>
        <w:rPr>
          <w:rFonts w:ascii="Times New Roman" w:hAnsi="Times New Roman"/>
          <w:sz w:val="20"/>
        </w:rPr>
      </w:pPr>
      <w:r>
        <w:rPr>
          <w:rFonts w:ascii="Arial" w:hAnsi="Arial"/>
          <w:color w:val="000000"/>
          <w:sz w:val="22"/>
        </w:rPr>
        <w:t xml:space="preserve">Our commitment to innovation, cloud-native platform, and API-first architecture create simpler experiences and faster paths to value for our customers. We empower them to preempt and react to emerging trends and global disruptions with technical expertise and operational confidence, transforming challenges into competitive advantage. For more information, please visit </w:t>
      </w:r>
      <w:r>
        <w:rPr>
          <w:rFonts w:ascii="Arial" w:hAnsi="Arial"/>
          <w:sz w:val="22"/>
        </w:rPr>
        <w:t>www.manh.com</w:t>
      </w:r>
      <w:r>
        <w:rPr>
          <w:rFonts w:ascii="Arial" w:hAnsi="Arial"/>
          <w:color w:val="000000"/>
          <w:sz w:val="22"/>
        </w:rPr>
        <w:t>.</w:t>
      </w:r>
    </w:p>
    <w:p>
      <w:pPr>
        <w:pStyle w:val="TextBody"/>
        <w:bidi w:val="0"/>
        <w:jc w:val="left"/>
        <w:rPr>
          <w:rFonts w:ascii="Arial" w:hAnsi="Arial"/>
          <w:i/>
          <w:color w:val="000000"/>
          <w:sz w:val="18"/>
        </w:rPr>
      </w:pPr>
      <w:r>
        <w:rPr>
          <w:rFonts w:ascii="Arial" w:hAnsi="Arial"/>
          <w:i/>
          <w:color w:val="000000"/>
          <w:sz w:val="18"/>
        </w:rPr>
        <w:t>This press release contains “forward-looking statements” relating to Manhattan Associates, Inc. Forward-looking statements in this press release include, without limitation, the information set forth under “2026 Guidance” and statements identified by words such as “may,” “expect,” “forecast,” “anticipate,” “intend,” “plan,” “believe,” “could,” “seek,” “project,” “estimate,” and similar expressions.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as a result of global instability due to military conflict, including the military conflict involving the United States, Israel, and Iran, as well as the ongoing war between Russia and Ukraine,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risks associated with our use of generative and agentic artificial intelligence; and the other risk factors set forth in Item 1A of Manhattan's Annual Report on Form 10-K for the year ended December 31, 2025, and in Item 1A of Part II in subsequent Quarterly Reports on Form 10-Q. Manhattan undertakes no obligation to update or revise forward-looking statements to reflect changed assumptions, the occurrence of unanticipated events or changes in future operating results.</w:t>
      </w:r>
    </w:p>
    <w:p>
      <w:pPr>
        <w:pStyle w:val="TextBody"/>
        <w:bidi w:val="0"/>
        <w:jc w:val="center"/>
        <w:rPr/>
      </w:pPr>
      <w:r>
        <w:rPr/>
        <w:t> </w:t>
      </w:r>
    </w:p>
    <w:p>
      <w:pPr>
        <w:pStyle w:val="TextBody"/>
        <w:bidi w:val="0"/>
        <w:jc w:val="center"/>
        <w:rPr>
          <w:rFonts w:ascii="Times New Roman" w:hAnsi="Times New Roman"/>
          <w:b/>
          <w:i/>
          <w:color w:val="000000"/>
          <w:sz w:val="18"/>
        </w:rPr>
      </w:pPr>
      <w:r>
        <w:rPr>
          <w:rFonts w:ascii="Times New Roman" w:hAnsi="Times New Roman"/>
          <w:b/>
          <w:i/>
          <w:color w:val="000000"/>
          <w:sz w:val="18"/>
        </w:rPr>
        <w:t>###</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58000" cy="619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61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9580" w:type="dxa"/>
        <w:jc w:val="left"/>
        <w:tblInd w:w="0" w:type="dxa"/>
        <w:tblLayout w:type="fixed"/>
        <w:tblCellMar>
          <w:top w:w="28" w:type="dxa"/>
          <w:left w:w="28" w:type="dxa"/>
          <w:bottom w:w="28" w:type="dxa"/>
          <w:right w:w="28" w:type="dxa"/>
        </w:tblCellMar>
      </w:tblPr>
      <w:tblGrid>
        <w:gridCol w:w="4701"/>
        <w:gridCol w:w="246"/>
        <w:gridCol w:w="1051"/>
        <w:gridCol w:w="162"/>
        <w:gridCol w:w="1051"/>
        <w:gridCol w:w="146"/>
        <w:gridCol w:w="946"/>
        <w:gridCol w:w="146"/>
        <w:gridCol w:w="1131"/>
      </w:tblGrid>
      <w:tr>
        <w:trPr/>
        <w:tc>
          <w:tcPr>
            <w:tcW w:w="47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Cloud subscriptions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$126,722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$194,728</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license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1,923</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10,820</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Maintenance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67,201</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133,047</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258,764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250,026</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Hardware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12,433</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535,208</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cloud subscriptions, maintenance and services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128,907</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254,984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230,279</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software license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503</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34,765</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72,111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70,169</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41,040</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26,741</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50,195</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3,125</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6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2,937</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231,563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398,248</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136,960</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67,214</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139,012</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16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58,760</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60,741</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Selected GAAP to Non-GAAP Measures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9120" w:type="dxa"/>
        <w:jc w:val="left"/>
        <w:tblInd w:w="0" w:type="dxa"/>
        <w:tblLayout w:type="fixed"/>
        <w:tblCellMar>
          <w:top w:w="28" w:type="dxa"/>
          <w:left w:w="28" w:type="dxa"/>
          <w:bottom w:w="28" w:type="dxa"/>
          <w:right w:w="28" w:type="dxa"/>
        </w:tblCellMar>
      </w:tblPr>
      <w:tblGrid>
        <w:gridCol w:w="4401"/>
        <w:gridCol w:w="146"/>
        <w:gridCol w:w="1046"/>
        <w:gridCol w:w="172"/>
        <w:gridCol w:w="1046"/>
        <w:gridCol w:w="146"/>
        <w:gridCol w:w="886"/>
        <w:gridCol w:w="146"/>
        <w:gridCol w:w="113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$136,960</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53,101</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 (c)</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(658)</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 (Non-GAAP)</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$103,850</w:t>
            </w:r>
          </w:p>
        </w:tc>
        <w:tc>
          <w:tcPr>
            <w:tcW w:w="17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$195,311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$192,340</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$16,862</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$29,650</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7,496</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(deficiency) benefit of stock awards vested (b)</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3,603</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(159)</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 (d)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2,041</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 provision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$22,946</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$44,446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$41,298</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$50,352</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$109,362</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45,605</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deficiency (benefit) of stock awards vested (b)</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(3,603)</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(499)</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 (d)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$81,887</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$156,185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$153,094</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$1.78</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0.74</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deficiency (benefit) of stock awards vested (b)</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(0.06)</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(0.01)</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 (d)</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EPS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0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Fully diluted shares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172"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61,300</w:t>
            </w:r>
          </w:p>
        </w:tc>
      </w:tr>
    </w:tbl>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results exclude all equity-based compensation, as detailed below, to facilitate comparison with our peers and for the other reasons explained in our Current Report on Form 8-K filed with the SEC. We do not receive a GAAP tax benefit for a portion of our equity-based compensation, mainly because of Section 162(m) of the Internal Revenue Code, which limits tax deductions for compensation granted to certain executives.</w:t>
      </w:r>
    </w:p>
    <w:tbl>
      <w:tblPr>
        <w:tblW w:w="7608" w:type="dxa"/>
        <w:jc w:val="left"/>
        <w:tblInd w:w="0" w:type="dxa"/>
        <w:tblLayout w:type="fixed"/>
        <w:tblCellMar>
          <w:top w:w="28" w:type="dxa"/>
          <w:left w:w="28" w:type="dxa"/>
          <w:bottom w:w="28" w:type="dxa"/>
          <w:right w:w="28" w:type="dxa"/>
        </w:tblCellMar>
      </w:tblPr>
      <w:tblGrid>
        <w:gridCol w:w="2836"/>
        <w:gridCol w:w="246"/>
        <w:gridCol w:w="1036"/>
        <w:gridCol w:w="193"/>
        <w:gridCol w:w="1036"/>
        <w:gridCol w:w="146"/>
        <w:gridCol w:w="846"/>
        <w:gridCol w:w="158"/>
        <w:gridCol w:w="1111"/>
      </w:tblGrid>
      <w:tr>
        <w:trPr/>
        <w:tc>
          <w:tcPr>
            <w:tcW w:w="28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283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services</w:t>
            </w:r>
          </w:p>
        </w:tc>
        <w:tc>
          <w:tcPr>
            <w:tcW w:w="24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$10,979</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$22,565</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$21,938</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11,632</w:t>
            </w:r>
          </w:p>
        </w:tc>
      </w:tr>
      <w:tr>
        <w:trPr/>
        <w:tc>
          <w:tcPr>
            <w:tcW w:w="283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3,296</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6,964</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3,427</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9,087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13,970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16,104</w:t>
            </w:r>
          </w:p>
        </w:tc>
      </w:tr>
      <w:tr>
        <w:trPr/>
        <w:tc>
          <w:tcPr>
            <w:tcW w:w="283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equity-based compensation</w:t>
            </w:r>
          </w:p>
        </w:tc>
        <w:tc>
          <w:tcPr>
            <w:tcW w:w="2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$29,356</w:t>
            </w:r>
          </w:p>
        </w:tc>
        <w:tc>
          <w:tcPr>
            <w:tcW w:w="193"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$55,880</w:t>
            </w:r>
          </w:p>
        </w:tc>
        <w:tc>
          <w:tcPr>
            <w:tcW w:w="15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$53,101</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Adjustments represent the excess tax benefits and tax deficiencies of the equity awards vested during the period. Excess tax benefits (deficiencies) occur when the amount deductible on our tax return for an equity award is more (less) than the cumulative compensation cost recognized for financial reporting purposes. As discussed above, we exclude equity-based compensation from adjusted non-GAAP results to be consistent with other companies in the software industry and for the other reasons explained in our Current Report on Form 8-K filed with the SEC. Therefore, we also exclude the related tax benefit (expense) generated upon their vesting.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the fourth quarter of 2024, we recorded $7.0 million of expense for an unusual health insurance claim. During the first quarter of 2025, we received an insurance recovery of $4.7 million for this claim, partially offset by $1.0 million of ongoing expense for the claim. During the second quarter of 2025, we recorded an additional $3.0 million of expense for this unusual health insurance claim. During the fourth quarter of 2025, we settled the remaining balance of the claim and recorded $6.2 million of benefit as the final payment was much lower than the cost estimates previously provided by our health insurance provider. Based on the uncommonly large magnitude and nature of the claim and timing of related insurance recoveries, we do not believe that this expense reflects our normal operating activities, and we have excluded the amount from adjusted non-GAAP results.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Restructuring expense primarily consists of employee severance and outplacement services. On June 1, 2026, we reduced our global headcount by approximately 6% and recorded pre-tax restructuring expense in the second quarter of 2026 of approximately $8.3 million. In January 2025, we eliminated about 100 positions and recorded pre-tax restructuring expense in the first quarter of 2025 of approximately $2.9 million. We excluded these costs for adjusted non-GAAP results to facilitate period-to-period comparability of operating performance.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8"/>
        <w:gridCol w:w="146"/>
        <w:gridCol w:w="222"/>
        <w:gridCol w:w="822"/>
        <w:gridCol w:w="166"/>
        <w:gridCol w:w="146"/>
        <w:gridCol w:w="253"/>
        <w:gridCol w:w="938"/>
        <w:gridCol w:w="614"/>
      </w:tblGrid>
      <w:tr>
        <w:trPr/>
        <w:tc>
          <w:tcPr>
            <w:tcW w:w="6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328,747</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62,072</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w:t>
            </w:r>
          </w:p>
        </w:tc>
        <w:tc>
          <w:tcPr>
            <w:tcW w:w="614"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583,338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24,606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23,120</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62,240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62,244</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47,680</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44,343</w:t>
            </w:r>
          </w:p>
        </w:tc>
        <w:tc>
          <w:tcPr>
            <w:tcW w:w="614"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30,733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22,182</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29,984</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26,570</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337,049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614"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455,913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53,882</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56,180</w:t>
            </w:r>
          </w:p>
        </w:tc>
        <w:tc>
          <w:tcPr>
            <w:tcW w:w="614"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44"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no par value; 20,000,000 shares authorized, no shares issued or outstanding in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200,000,000 shares authorized; 58,300,070 and 59,845,291 shares issued and outstanding at June 30, 2026 and December 31, 2025, respectively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614"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(37,026</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(30,930</w:t>
            </w:r>
          </w:p>
        </w:tc>
        <w:tc>
          <w:tcPr>
            <w:tcW w:w="614"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314,765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698,646</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839,388</w:t>
            </w:r>
          </w:p>
        </w:tc>
        <w:tc>
          <w:tcPr>
            <w:tcW w:w="614"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MANHATTAN ASSOCIATES,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2"/>
        <w:gridCol w:w="746"/>
        <w:gridCol w:w="211"/>
        <w:gridCol w:w="841"/>
        <w:gridCol w:w="166"/>
        <w:gridCol w:w="146"/>
        <w:gridCol w:w="211"/>
        <w:gridCol w:w="841"/>
        <w:gridCol w:w="811"/>
      </w:tblGrid>
      <w:tr>
        <w:trPr/>
        <w:tc>
          <w:tcPr>
            <w:tcW w:w="62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55,880</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53,101</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currency (gain)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(10,996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accrued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(15,598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174,725</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149,310</w:t>
            </w:r>
          </w:p>
        </w:tc>
        <w:tc>
          <w:tcPr>
            <w:tcW w:w="8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(5,108</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74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(306,476</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(186,638</w:t>
            </w:r>
          </w:p>
        </w:tc>
        <w:tc>
          <w:tcPr>
            <w:tcW w:w="811" w:type="dxa"/>
            <w:tcBorders/>
            <w:shd w:fill="CCFFC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(306,476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(186,638</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impact on cash</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(5,778</w:t>
            </w:r>
          </w:p>
        </w:tc>
        <w:tc>
          <w:tcPr>
            <w:tcW w:w="16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w:t>
            </w:r>
          </w:p>
        </w:tc>
        <w:tc>
          <w:tcPr>
            <w:tcW w:w="81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(142,637</w:t>
            </w:r>
          </w:p>
        </w:tc>
        <w:tc>
          <w:tcPr>
            <w:tcW w:w="16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(35,637</w:t>
            </w:r>
          </w:p>
        </w:tc>
        <w:tc>
          <w:tcPr>
            <w:tcW w:w="81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2"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7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186,110</w:t>
            </w:r>
          </w:p>
        </w:tc>
        <w:tc>
          <w:tcPr>
            <w:tcW w:w="16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230,593</w:t>
            </w:r>
          </w:p>
        </w:tc>
        <w:tc>
          <w:tcPr>
            <w:tcW w:w="81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MANHATTAN ASSOCIATES, INC.</w:t>
      </w:r>
    </w:p>
    <w:p>
      <w:pPr>
        <w:pStyle w:val="TextBody"/>
        <w:bidi w:val="0"/>
        <w:jc w:val="left"/>
        <w:rPr>
          <w:rFonts w:ascii="Times New Roman" w:hAnsi="Times New Roman"/>
          <w:b/>
          <w:color w:val="000000"/>
          <w:sz w:val="20"/>
        </w:rPr>
      </w:pPr>
      <w:r>
        <w:rPr>
          <w:rFonts w:ascii="Times New Roman" w:hAnsi="Times New Roman"/>
          <w:b/>
          <w:color w:val="000000"/>
          <w:sz w:val="20"/>
        </w:rPr>
        <w:t>SUPPLEMENTAL INFORMATION</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 GAAP and adjusted earnings per share by quarter are as follows:</w:t>
      </w:r>
    </w:p>
    <w:tbl>
      <w:tblPr>
        <w:tblW w:w="10205" w:type="dxa"/>
        <w:jc w:val="left"/>
        <w:tblInd w:w="0" w:type="dxa"/>
        <w:tblLayout w:type="fixed"/>
        <w:tblCellMar>
          <w:top w:w="28" w:type="dxa"/>
          <w:left w:w="28" w:type="dxa"/>
          <w:bottom w:w="28" w:type="dxa"/>
          <w:right w:w="28" w:type="dxa"/>
        </w:tblCellMar>
      </w:tblPr>
      <w:tblGrid>
        <w:gridCol w:w="3609"/>
        <w:gridCol w:w="676"/>
        <w:gridCol w:w="146"/>
        <w:gridCol w:w="688"/>
        <w:gridCol w:w="146"/>
        <w:gridCol w:w="676"/>
        <w:gridCol w:w="146"/>
        <w:gridCol w:w="676"/>
        <w:gridCol w:w="146"/>
        <w:gridCol w:w="772"/>
        <w:gridCol w:w="146"/>
        <w:gridCol w:w="676"/>
        <w:gridCol w:w="146"/>
        <w:gridCol w:w="688"/>
        <w:gridCol w:w="146"/>
        <w:gridCol w:w="722"/>
      </w:tblGrid>
      <w:tr>
        <w:trPr/>
        <w:tc>
          <w:tcPr>
            <w:tcW w:w="36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360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Diluted EPS</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GAAP:</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0.81</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deficiency (benefit) of stock awards vested</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0.04</w:t>
            </w:r>
          </w:p>
        </w:tc>
      </w:tr>
      <w:tr>
        <w:trPr/>
        <w:tc>
          <w:tcPr>
            <w:tcW w:w="360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r>
      <w:tr>
        <w:trPr/>
        <w:tc>
          <w:tcPr>
            <w:tcW w:w="3609" w:type="dxa"/>
            <w:tcBorders/>
            <w:shd w:fill="CCFFC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Adjusted Diluted EPS</w:t>
            </w:r>
          </w:p>
        </w:tc>
        <w:tc>
          <w:tcPr>
            <w:tcW w:w="676"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688"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676"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676"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772"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676"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688"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w:t>
            </w:r>
          </w:p>
        </w:tc>
        <w:tc>
          <w:tcPr>
            <w:tcW w:w="146" w:type="dxa"/>
            <w:tcBorders>
              <w:top w:val="single" w:sz="4" w:space="0" w:color="000000"/>
            </w:tcBorders>
            <w:shd w:fill="CCFFCC" w:val="clear"/>
            <w:tcMar>
              <w:left w:w="0" w:type="dxa"/>
              <w:bottom w:w="0" w:type="dxa"/>
              <w:right w:w="0" w:type="dxa"/>
            </w:tcMar>
            <w:vAlign w:val="center"/>
          </w:tcPr>
          <w:p>
            <w:pPr>
              <w:pStyle w:val="TableContents"/>
              <w:bidi w:val="0"/>
              <w:spacing w:before="0" w:after="283"/>
              <w:jc w:val="right"/>
              <w:rPr/>
            </w:pPr>
            <w:r>
              <w:rPr/>
              <w:t> </w:t>
            </w:r>
          </w:p>
        </w:tc>
        <w:tc>
          <w:tcPr>
            <w:tcW w:w="722" w:type="dxa"/>
            <w:tcBorders>
              <w:top w:val="single" w:sz="4" w:space="0" w:color="000000"/>
              <w:bottom w:val="double" w:sz="6" w:space="0" w:color="000000"/>
            </w:tcBorders>
            <w:shd w:fill="CCFFC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Fully Diluted Shares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59,515</w:t>
            </w:r>
          </w:p>
        </w:tc>
      </w:tr>
    </w:tbl>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2. Revenues and operating income by reportable segment are as follows (in thousands):</w:t>
      </w:r>
    </w:p>
    <w:tbl>
      <w:tblPr>
        <w:tblW w:w="10205" w:type="dxa"/>
        <w:jc w:val="left"/>
        <w:tblInd w:w="0" w:type="dxa"/>
        <w:tblLayout w:type="fixed"/>
        <w:tblCellMar>
          <w:top w:w="28" w:type="dxa"/>
          <w:left w:w="28" w:type="dxa"/>
          <w:bottom w:w="28" w:type="dxa"/>
          <w:right w:w="28" w:type="dxa"/>
        </w:tblCellMar>
      </w:tblPr>
      <w:tblGrid>
        <w:gridCol w:w="1805"/>
        <w:gridCol w:w="886"/>
        <w:gridCol w:w="146"/>
        <w:gridCol w:w="886"/>
        <w:gridCol w:w="146"/>
        <w:gridCol w:w="886"/>
        <w:gridCol w:w="146"/>
        <w:gridCol w:w="886"/>
        <w:gridCol w:w="146"/>
        <w:gridCol w:w="1036"/>
        <w:gridCol w:w="146"/>
        <w:gridCol w:w="886"/>
        <w:gridCol w:w="146"/>
        <w:gridCol w:w="886"/>
        <w:gridCol w:w="146"/>
        <w:gridCol w:w="1026"/>
      </w:tblGrid>
      <w:tr>
        <w:trPr/>
        <w:tc>
          <w:tcPr>
            <w:tcW w:w="180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10205" w:type="dxa"/>
            <w:gridSpan w:val="16"/>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$441,562</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109,041</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$262,787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$272,421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$275,795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$270,389</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$1,081,392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$282,215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$297,794</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$580,009</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6"/>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Operating Income:</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$80,341</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37,792</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$63,172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$73,788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$75,828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$67,012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$279,800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$64,937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$66,231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$131,168</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6"/>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(pre-tax):</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Americas:</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$55,880</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Unusual health insurance claim</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$61,517</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EMEA:</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APAC:</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Operating Income:</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$73,360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$65,529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$141,858</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40,138</w:t>
            </w:r>
          </w:p>
        </w:tc>
      </w:tr>
      <w:tr>
        <w:trPr/>
        <w:tc>
          <w:tcPr>
            <w:tcW w:w="180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r>
      <w:tr>
        <w:trPr/>
        <w:tc>
          <w:tcPr>
            <w:tcW w:w="1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$195,311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Impact of Currency Fluctuation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reflects the increases (decreases) in the results of operations for each period attributable to the change in foreign currency exchange rates from the prior period as well as foreign currency gains (losses) included in other income, net for each period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1"/>
        <w:gridCol w:w="786"/>
        <w:gridCol w:w="146"/>
        <w:gridCol w:w="688"/>
        <w:gridCol w:w="146"/>
        <w:gridCol w:w="676"/>
        <w:gridCol w:w="146"/>
        <w:gridCol w:w="676"/>
        <w:gridCol w:w="146"/>
        <w:gridCol w:w="777"/>
        <w:gridCol w:w="146"/>
        <w:gridCol w:w="676"/>
        <w:gridCol w:w="146"/>
        <w:gridCol w:w="688"/>
        <w:gridCol w:w="146"/>
        <w:gridCol w:w="725"/>
      </w:tblGrid>
      <w:tr>
        <w:trPr/>
        <w:tc>
          <w:tcPr>
            <w:tcW w:w="349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349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r>
      <w:tr>
        <w:trPr/>
        <w:tc>
          <w:tcPr>
            <w:tcW w:w="349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7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5"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(losses) in other income</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r>
      <w:tr>
        <w:trPr/>
        <w:tc>
          <w:tcPr>
            <w:tcW w:w="3491"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$1,479</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$2,936</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77"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8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25"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Manhattan Associates has a large research and development center in Bangalore, India. The following table reflects the increases (decreases) in the financial results for each period attributable to changes in the Indian Rupee exchange rate (in thousands):</w:t>
        <w:br/>
        <w:t> </w:t>
      </w:r>
    </w:p>
    <w:tbl>
      <w:tblPr>
        <w:tblW w:w="10205" w:type="dxa"/>
        <w:jc w:val="left"/>
        <w:tblInd w:w="0" w:type="dxa"/>
        <w:tblLayout w:type="fixed"/>
        <w:tblCellMar>
          <w:top w:w="28" w:type="dxa"/>
          <w:left w:w="28" w:type="dxa"/>
          <w:bottom w:w="28" w:type="dxa"/>
          <w:right w:w="28" w:type="dxa"/>
        </w:tblCellMar>
      </w:tblPr>
      <w:tblGrid>
        <w:gridCol w:w="3579"/>
        <w:gridCol w:w="618"/>
        <w:gridCol w:w="146"/>
        <w:gridCol w:w="670"/>
        <w:gridCol w:w="146"/>
        <w:gridCol w:w="676"/>
        <w:gridCol w:w="146"/>
        <w:gridCol w:w="676"/>
        <w:gridCol w:w="146"/>
        <w:gridCol w:w="781"/>
        <w:gridCol w:w="146"/>
        <w:gridCol w:w="676"/>
        <w:gridCol w:w="146"/>
        <w:gridCol w:w="689"/>
        <w:gridCol w:w="146"/>
        <w:gridCol w:w="818"/>
      </w:tblGrid>
      <w:tr>
        <w:trPr/>
        <w:tc>
          <w:tcPr>
            <w:tcW w:w="35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3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3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3579"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61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0"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r>
      <w:tr>
        <w:trPr/>
        <w:tc>
          <w:tcPr>
            <w:tcW w:w="3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(losses) in other income</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4,179</w:t>
            </w:r>
          </w:p>
        </w:tc>
      </w:tr>
      <w:tr>
        <w:trPr/>
        <w:tc>
          <w:tcPr>
            <w:tcW w:w="3579" w:type="dxa"/>
            <w:tcBorders/>
            <w:shd w:fill="CCFFC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impact of changes in the Indian Rupee</w:t>
            </w:r>
          </w:p>
        </w:tc>
        <w:tc>
          <w:tcPr>
            <w:tcW w:w="61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0"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$6,415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$4,494</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89"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18"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$7,459</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4. Other income includes the following components (in thousands):</w:t>
        <w:br/>
      </w:r>
      <w:r>
        <w:rPr>
          <w:rFonts w:ascii="Times New Roman" w:hAnsi="Times New Roman"/>
          <w:color w:val="000000"/>
          <w:sz w:val="20"/>
        </w:rPr>
        <w:t> </w:t>
      </w:r>
    </w:p>
    <w:tbl>
      <w:tblPr>
        <w:tblW w:w="9866" w:type="dxa"/>
        <w:jc w:val="left"/>
        <w:tblInd w:w="0" w:type="dxa"/>
        <w:tblLayout w:type="fixed"/>
        <w:tblCellMar>
          <w:top w:w="28" w:type="dxa"/>
          <w:left w:w="28" w:type="dxa"/>
          <w:bottom w:w="28" w:type="dxa"/>
          <w:right w:w="28" w:type="dxa"/>
        </w:tblCellMar>
      </w:tblPr>
      <w:tblGrid>
        <w:gridCol w:w="3241"/>
        <w:gridCol w:w="676"/>
        <w:gridCol w:w="146"/>
        <w:gridCol w:w="691"/>
        <w:gridCol w:w="146"/>
        <w:gridCol w:w="676"/>
        <w:gridCol w:w="146"/>
        <w:gridCol w:w="676"/>
        <w:gridCol w:w="146"/>
        <w:gridCol w:w="796"/>
        <w:gridCol w:w="146"/>
        <w:gridCol w:w="676"/>
        <w:gridCol w:w="146"/>
        <w:gridCol w:w="691"/>
        <w:gridCol w:w="146"/>
        <w:gridCol w:w="721"/>
      </w:tblGrid>
      <w:tr>
        <w:trPr/>
        <w:tc>
          <w:tcPr>
            <w:tcW w:w="32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324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(losses)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r>
      <w:tr>
        <w:trPr/>
        <w:tc>
          <w:tcPr>
            <w:tcW w:w="3241"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(expense)</w:t>
            </w:r>
          </w:p>
        </w:tc>
        <w:tc>
          <w:tcPr>
            <w:tcW w:w="67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CCFFC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170</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(loss)</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$5,320</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5. Capital expenditures are as follows (in thousands):</w:t>
        <w:br/>
      </w:r>
      <w:r>
        <w:rPr>
          <w:rFonts w:ascii="Times New Roman" w:hAnsi="Times New Roman"/>
          <w:color w:val="000000"/>
          <w:sz w:val="20"/>
        </w:rPr>
        <w:t> </w:t>
      </w:r>
    </w:p>
    <w:tbl>
      <w:tblPr>
        <w:tblW w:w="8396" w:type="dxa"/>
        <w:jc w:val="left"/>
        <w:tblInd w:w="0" w:type="dxa"/>
        <w:tblLayout w:type="fixed"/>
        <w:tblCellMar>
          <w:top w:w="28" w:type="dxa"/>
          <w:left w:w="28" w:type="dxa"/>
          <w:bottom w:w="28" w:type="dxa"/>
          <w:right w:w="28" w:type="dxa"/>
        </w:tblCellMar>
      </w:tblPr>
      <w:tblGrid>
        <w:gridCol w:w="1816"/>
        <w:gridCol w:w="631"/>
        <w:gridCol w:w="146"/>
        <w:gridCol w:w="691"/>
        <w:gridCol w:w="146"/>
        <w:gridCol w:w="676"/>
        <w:gridCol w:w="146"/>
        <w:gridCol w:w="676"/>
        <w:gridCol w:w="146"/>
        <w:gridCol w:w="796"/>
        <w:gridCol w:w="146"/>
        <w:gridCol w:w="676"/>
        <w:gridCol w:w="146"/>
        <w:gridCol w:w="691"/>
        <w:gridCol w:w="146"/>
        <w:gridCol w:w="721"/>
      </w:tblGrid>
      <w:tr>
        <w:trPr/>
        <w:tc>
          <w:tcPr>
            <w:tcW w:w="18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1816"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6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6. Stock Repurchase Activity (in thousands):</w:t>
      </w:r>
    </w:p>
    <w:tbl>
      <w:tblPr>
        <w:tblW w:w="10205" w:type="dxa"/>
        <w:jc w:val="left"/>
        <w:tblInd w:w="0" w:type="dxa"/>
        <w:tblLayout w:type="fixed"/>
        <w:tblCellMar>
          <w:top w:w="28" w:type="dxa"/>
          <w:left w:w="28" w:type="dxa"/>
          <w:bottom w:w="28" w:type="dxa"/>
          <w:right w:w="28" w:type="dxa"/>
        </w:tblCellMar>
      </w:tblPr>
      <w:tblGrid>
        <w:gridCol w:w="2365"/>
        <w:gridCol w:w="886"/>
        <w:gridCol w:w="146"/>
        <w:gridCol w:w="781"/>
        <w:gridCol w:w="146"/>
        <w:gridCol w:w="781"/>
        <w:gridCol w:w="146"/>
        <w:gridCol w:w="781"/>
        <w:gridCol w:w="146"/>
        <w:gridCol w:w="886"/>
        <w:gridCol w:w="146"/>
        <w:gridCol w:w="886"/>
        <w:gridCol w:w="146"/>
        <w:gridCol w:w="886"/>
        <w:gridCol w:w="146"/>
        <w:gridCol w:w="931"/>
      </w:tblGrid>
      <w:tr>
        <w:trPr/>
        <w:tc>
          <w:tcPr>
            <w:tcW w:w="2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3rd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4th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1st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2nd Qtr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r>
      <w:tr>
        <w:trPr/>
        <w:tc>
          <w:tcPr>
            <w:tcW w:w="236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purchased under publicly-announced buy-back program</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withheld for taxes due upon vesting of restricted stock</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r>
      <w:tr>
        <w:trPr/>
        <w:tc>
          <w:tcPr>
            <w:tcW w:w="236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purchased</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shares purchased under publicly-announced buy-back program</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$274,983</w:t>
            </w:r>
          </w:p>
        </w:tc>
      </w:tr>
      <w:tr>
        <w:trPr/>
        <w:tc>
          <w:tcPr>
            <w:tcW w:w="236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shares withheld for taxes due upon vesting of restricted stock</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36,447</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29,509</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excise tax</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r>
      <w:tr>
        <w:trPr/>
        <w:tc>
          <w:tcPr>
            <w:tcW w:w="2365" w:type="dxa"/>
            <w:tcBorders/>
            <w:shd w:fill="CCFFC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shares repurchased</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$50,191</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$51,549</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$76,975</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$315,162</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$179,387</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$127,089</w:t>
            </w:r>
          </w:p>
        </w:tc>
        <w:tc>
          <w:tcPr>
            <w:tcW w:w="146"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double" w:sz="6" w:space="0" w:color="000000"/>
            </w:tcBorders>
            <w:shd w:fill="CCFFC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$306,476</w:t>
            </w:r>
          </w:p>
        </w:tc>
      </w:tr>
    </w:tbl>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7. Remaining Performance Obligations</w:t>
      </w:r>
    </w:p>
    <w:p>
      <w:pPr>
        <w:pStyle w:val="TextBody"/>
        <w:bidi w:val="0"/>
        <w:jc w:val="left"/>
        <w:rPr>
          <w:rFonts w:ascii="Times New Roman" w:hAnsi="Times New Roman"/>
          <w:color w:val="000000"/>
          <w:sz w:val="20"/>
        </w:rPr>
      </w:pPr>
      <w:r>
        <w:rPr>
          <w:rFonts w:ascii="Times New Roman" w:hAnsi="Times New Roman"/>
          <w:color w:val="000000"/>
          <w:sz w:val="20"/>
        </w:rPr>
        <w:t>We disclose revenue that we expect to recognize from our remaining performance obligations ("RPO"). Over 99% of our RPO represents cloud native subscriptions with non-cancelable terms greater than one year (including cloud-deferred revenue as well as amounts we will invoice and recognize as revenue from our performance of cloud services in future periods). Maintenance contracts are typically one year and not included in the RPO. Our RPO as of the end of each period appears below (in thousands):</w:t>
        <w:br/>
        <w:t> </w:t>
      </w:r>
    </w:p>
    <w:tbl>
      <w:tblPr>
        <w:tblW w:w="10205" w:type="dxa"/>
        <w:jc w:val="left"/>
        <w:tblInd w:w="0" w:type="dxa"/>
        <w:tblLayout w:type="fixed"/>
        <w:tblCellMar>
          <w:top w:w="28" w:type="dxa"/>
          <w:left w:w="28" w:type="dxa"/>
          <w:bottom w:w="28" w:type="dxa"/>
          <w:right w:w="28" w:type="dxa"/>
        </w:tblCellMar>
      </w:tblPr>
      <w:tblGrid>
        <w:gridCol w:w="2286"/>
        <w:gridCol w:w="1158"/>
        <w:gridCol w:w="146"/>
        <w:gridCol w:w="1084"/>
        <w:gridCol w:w="146"/>
        <w:gridCol w:w="1313"/>
        <w:gridCol w:w="146"/>
        <w:gridCol w:w="1288"/>
        <w:gridCol w:w="146"/>
        <w:gridCol w:w="1158"/>
        <w:gridCol w:w="146"/>
        <w:gridCol w:w="1188"/>
      </w:tblGrid>
      <w:tr>
        <w:trPr/>
        <w:tc>
          <w:tcPr>
            <w:tcW w:w="228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June 30, 2026</w:t>
            </w:r>
          </w:p>
        </w:tc>
      </w:tr>
      <w:tr>
        <w:trPr/>
        <w:tc>
          <w:tcPr>
            <w:tcW w:w="2286" w:type="dxa"/>
            <w:tcBorders/>
            <w:shd w:fill="CCFFC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Remaining Performance Obligations</w:t>
            </w:r>
          </w:p>
        </w:tc>
        <w:tc>
          <w:tcPr>
            <w:tcW w:w="11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$1,891,384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$2,013,495</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313"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$2,076,628</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2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$2,232,234</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$2,347,952</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right"/>
              <w:rPr/>
            </w:pPr>
            <w:r>
              <w:rPr/>
              <w:t> </w:t>
            </w:r>
          </w:p>
        </w:tc>
        <w:tc>
          <w:tcPr>
            <w:tcW w:w="1188" w:type="dxa"/>
            <w:tcBorders/>
            <w:shd w:fill="CCFFC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$2,473,753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4902</Words>
  <Characters>27708</Characters>
  <CharactersWithSpaces>32942</CharactersWithSpaces>
  <Paragraphs>2686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