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NOONAN THOMAS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2300 WINDY RIDGE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MANHATTAN ASSOCIATES INC</w:t>
              </w:r>
            </w:hyperlink>
            <w:r>
              <w:rPr/>
              <w:t xml:space="preserve"> [ </w:t>
            </w:r>
            <w:r>
              <w:rPr>
                <w:rFonts w:ascii="Times;serif" w:hAnsi="Times;serif"/>
                <w:color w:val="0000FF"/>
                <w:sz w:val="24"/>
                <w:shd w:fill="FFFFFF" w:val="clear"/>
              </w:rPr>
              <w:t>MANH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1,940</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grant under the Company's stock incentive plan, vesting fully on the earlier to occur of the next annual meeting of shareholders and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M. Eaton,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9742" TargetMode="External"/><Relationship Id="rId5" Type="http://schemas.openxmlformats.org/officeDocument/2006/relationships/hyperlink" Target="http://www.sec.gov/cgi-bin/browse-edgar?action=getcompany&amp;CIK=00010566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3214</Characters>
  <CharactersWithSpaces>3748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