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MANHATTAN ASSOCIATES,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0-23999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58-2373424</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2300 Windy Ridge Parkway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Tenth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Atlanta, Georgia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30339</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955-7070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MANH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the First Amendment to Manhattan Associates, Inc. 2020 Equity Incentive Plan</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On March 20, 2026, the Board of Directors of Manhattan Associates, Inc., a Georgia corporation (the “Company”), adopted the First Amendment (the “First Amendment”) to the Manhattan Associates, Inc. 2020 Equity Incentive Plan (the “Plan”), subject to shareholder approval. The shareholders of the Company approved the First Amendment at the Company’s 2026 Annual Meeting of Shareholders on May 14, 2026. Among other things, the First Amendment increases the number of shares of common stock issuable under the Plan by an additional 3,000,000 shares and extends the term of the Plan to March 20, 2036. The Company included a description of the material terms of the First Amendment and the Plan, as amended thereby, in its Definitive Proxy Statement on Schedule 14A filed with the Securities and Exchange Commission on April 2, 2026 (the “Proxy Statement”) and incorporates it by reference. The descriptions of the First Amendment and the Plan contained in this report and in the Proxy Statement are qualified in their entirety by reference to the full text of the Plan and the First Amendment, which are filed as Exhibits 10.1 and 10.2 to this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940" w:hanging="714"/>
        <w:spacing w:after="0"/>
        <w:tabs>
          <w:tab w:leader="none" w:pos="1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29"/>
        </w:trPr>
        <w:tc>
          <w:tcPr>
            <w:tcW w:w="1900" w:type="dxa"/>
            <w:vAlign w:val="bottom"/>
          </w:tcPr>
          <w:p>
            <w:pPr>
              <w:spacing w:after="0"/>
              <w:rPr>
                <w:sz w:val="19"/>
                <w:szCs w:val="19"/>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7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9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3"/>
        </w:trPr>
        <w:tc>
          <w:tcPr>
            <w:tcW w:w="19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60" w:type="dxa"/>
            <w:vAlign w:val="bottom"/>
          </w:tcPr>
          <w:p>
            <w:pPr>
              <w:spacing w:after="0"/>
              <w:rPr>
                <w:sz w:val="24"/>
                <w:szCs w:val="24"/>
                <w:color w:val="auto"/>
              </w:rPr>
            </w:pPr>
          </w:p>
        </w:tc>
        <w:tc>
          <w:tcPr>
            <w:tcW w:w="73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Manhattan Associates, Inc. 2020 Equity Incentive Plan (incorporated by reference to Annex A to the</w:t>
              </w:r>
            </w:hyperlink>
          </w:p>
        </w:tc>
        <w:tc>
          <w:tcPr>
            <w:tcW w:w="440" w:type="dxa"/>
            <w:vAlign w:val="bottom"/>
          </w:tcPr>
          <w:p>
            <w:pPr>
              <w:spacing w:after="0"/>
              <w:rPr>
                <w:sz w:val="24"/>
                <w:szCs w:val="24"/>
                <w:color w:val="auto"/>
              </w:rPr>
            </w:pPr>
          </w:p>
        </w:tc>
      </w:tr>
      <w:tr>
        <w:trPr>
          <w:trHeight w:val="196"/>
        </w:trPr>
        <w:tc>
          <w:tcPr>
            <w:tcW w:w="1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Company’s Definitive Proxy Statement related to its 2020 Annual Meeting of Shareholders filed</w:t>
              </w:r>
            </w:hyperlink>
          </w:p>
        </w:tc>
        <w:tc>
          <w:tcPr>
            <w:tcW w:w="740" w:type="dxa"/>
            <w:vAlign w:val="bottom"/>
            <w:gridSpan w:val="3"/>
          </w:tcPr>
          <w:p>
            <w:pPr>
              <w:spacing w:after="0"/>
              <w:rPr>
                <w:sz w:val="17"/>
                <w:szCs w:val="17"/>
                <w:color w:val="auto"/>
              </w:rPr>
            </w:pPr>
          </w:p>
        </w:tc>
      </w:tr>
      <w:tr>
        <w:trPr>
          <w:trHeight w:val="196"/>
        </w:trPr>
        <w:tc>
          <w:tcPr>
            <w:tcW w:w="1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740" w:type="dxa"/>
            <w:vAlign w:val="bottom"/>
            <w:gridSpan w:val="12"/>
          </w:tcPr>
          <w:p>
            <w:pPr>
              <w:spacing w:after="0" w:line="196"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with the Securities and Exchange Commission on March 30, 2020 (Commission File No. 000-</w:t>
              </w:r>
            </w:hyperlink>
          </w:p>
        </w:tc>
      </w:tr>
      <w:tr>
        <w:trPr>
          <w:trHeight w:val="196"/>
        </w:trPr>
        <w:tc>
          <w:tcPr>
            <w:tcW w:w="1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6">
              <w:r>
                <w:rPr>
                  <w:rFonts w:ascii="Times New Roman" w:cs="Times New Roman" w:eastAsia="Times New Roman" w:hAnsi="Times New Roman"/>
                  <w:sz w:val="18"/>
                  <w:szCs w:val="18"/>
                  <w:color w:val="0000FF"/>
                  <w:w w:val="98"/>
                </w:rPr>
                <w:t>23999)</w:t>
              </w:r>
              <w:r>
                <w:rPr>
                  <w:rFonts w:ascii="Times New Roman" w:cs="Times New Roman" w:eastAsia="Times New Roman" w:hAnsi="Times New Roman"/>
                  <w:sz w:val="18"/>
                  <w:szCs w:val="18"/>
                  <w:u w:val="single" w:color="auto"/>
                  <w:color w:val="0000FF"/>
                  <w:w w:val="98"/>
                </w:rPr>
                <w:t>)</w:t>
              </w:r>
            </w:hyperlink>
          </w:p>
        </w:tc>
        <w:tc>
          <w:tcPr>
            <w:tcW w:w="20" w:type="dxa"/>
            <w:vAlign w:val="bottom"/>
            <w:tcBorders>
              <w:top w:val="single" w:sz="8" w:color="0000FF"/>
              <w:bottom w:val="single" w:sz="8" w:color="0000EE"/>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12"/>
        </w:trPr>
        <w:tc>
          <w:tcPr>
            <w:tcW w:w="254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10.2</w:t>
            </w:r>
          </w:p>
        </w:tc>
        <w:tc>
          <w:tcPr>
            <w:tcW w:w="960" w:type="dxa"/>
            <w:vAlign w:val="bottom"/>
          </w:tcPr>
          <w:p>
            <w:pPr>
              <w:spacing w:after="0"/>
              <w:rPr>
                <w:sz w:val="24"/>
                <w:szCs w:val="24"/>
                <w:color w:val="auto"/>
              </w:rPr>
            </w:pPr>
          </w:p>
        </w:tc>
        <w:tc>
          <w:tcPr>
            <w:tcW w:w="67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First Amendment to Manhattan Associates, Inc. 2020 Equity Incentive Plan (incorporated by</w:t>
              </w:r>
            </w:hyperlink>
          </w:p>
        </w:tc>
        <w:tc>
          <w:tcPr>
            <w:tcW w:w="1000" w:type="dxa"/>
            <w:vAlign w:val="bottom"/>
            <w:gridSpan w:val="6"/>
          </w:tcPr>
          <w:p>
            <w:pPr>
              <w:spacing w:after="0"/>
              <w:rPr>
                <w:sz w:val="24"/>
                <w:szCs w:val="24"/>
                <w:color w:val="auto"/>
              </w:rPr>
            </w:pPr>
          </w:p>
        </w:tc>
      </w:tr>
      <w:tr>
        <w:trPr>
          <w:trHeight w:val="196"/>
        </w:trPr>
        <w:tc>
          <w:tcPr>
            <w:tcW w:w="1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reference to Appendix A to the Company's Definitive Proxy Statement related to its 2026 Annual</w:t>
              </w:r>
            </w:hyperlink>
          </w:p>
        </w:tc>
        <w:tc>
          <w:tcPr>
            <w:tcW w:w="680" w:type="dxa"/>
            <w:vAlign w:val="bottom"/>
            <w:gridSpan w:val="2"/>
          </w:tcPr>
          <w:p>
            <w:pPr>
              <w:spacing w:after="0"/>
              <w:rPr>
                <w:sz w:val="17"/>
                <w:szCs w:val="17"/>
                <w:color w:val="auto"/>
              </w:rPr>
            </w:pPr>
          </w:p>
        </w:tc>
      </w:tr>
      <w:tr>
        <w:trPr>
          <w:trHeight w:val="196"/>
        </w:trPr>
        <w:tc>
          <w:tcPr>
            <w:tcW w:w="1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Meeting of Shareholders filed with the Securities and Exchange Commission on April 2, 2026</w:t>
              </w:r>
            </w:hyperlink>
          </w:p>
        </w:tc>
        <w:tc>
          <w:tcPr>
            <w:tcW w:w="900" w:type="dxa"/>
            <w:vAlign w:val="bottom"/>
            <w:gridSpan w:val="4"/>
          </w:tcPr>
          <w:p>
            <w:pPr>
              <w:spacing w:after="0"/>
              <w:rPr>
                <w:sz w:val="17"/>
                <w:szCs w:val="17"/>
                <w:color w:val="auto"/>
              </w:rPr>
            </w:pPr>
          </w:p>
        </w:tc>
      </w:tr>
      <w:tr>
        <w:trPr>
          <w:trHeight w:val="196"/>
        </w:trPr>
        <w:tc>
          <w:tcPr>
            <w:tcW w:w="1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(Commission File No. 00-23999)).</w:t>
              </w:r>
            </w:hyperlink>
          </w:p>
        </w:tc>
        <w:tc>
          <w:tcPr>
            <w:tcW w:w="20" w:type="dxa"/>
            <w:vAlign w:val="bottom"/>
            <w:tcBorders>
              <w:bottom w:val="single" w:sz="8" w:color="0000EE"/>
            </w:tcBorders>
          </w:tcPr>
          <w:p>
            <w:pPr>
              <w:spacing w:after="0"/>
              <w:rPr>
                <w:sz w:val="17"/>
                <w:szCs w:val="17"/>
                <w:color w:val="auto"/>
              </w:rPr>
            </w:pPr>
          </w:p>
        </w:tc>
        <w:tc>
          <w:tcPr>
            <w:tcW w:w="5200" w:type="dxa"/>
            <w:vAlign w:val="bottom"/>
            <w:gridSpan w:val="7"/>
          </w:tcPr>
          <w:p>
            <w:pPr>
              <w:spacing w:after="0"/>
              <w:rPr>
                <w:sz w:val="17"/>
                <w:szCs w:val="17"/>
                <w:color w:val="auto"/>
              </w:rPr>
            </w:pPr>
          </w:p>
        </w:tc>
      </w:tr>
      <w:tr>
        <w:trPr>
          <w:trHeight w:val="453"/>
        </w:trPr>
        <w:tc>
          <w:tcPr>
            <w:tcW w:w="254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104</w:t>
            </w:r>
          </w:p>
        </w:tc>
        <w:tc>
          <w:tcPr>
            <w:tcW w:w="960" w:type="dxa"/>
            <w:vAlign w:val="bottom"/>
          </w:tcPr>
          <w:p>
            <w:pPr>
              <w:spacing w:after="0"/>
              <w:rPr>
                <w:sz w:val="24"/>
                <w:szCs w:val="24"/>
                <w:color w:val="auto"/>
              </w:rPr>
            </w:pPr>
          </w:p>
        </w:tc>
        <w:tc>
          <w:tcPr>
            <w:tcW w:w="7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964"/>
        </w:trPr>
        <w:tc>
          <w:tcPr>
            <w:tcW w:w="19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Manhattan Associates,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S. Richards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1144905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6" Type="http://schemas.openxmlformats.org/officeDocument/2006/relationships/hyperlink" Target="https://www.sec.gov/Archives/edgar/data/1056696/000156459020013959/manh-def14a_20200514.htm#IncentivePlan" TargetMode="External"/><Relationship Id="rId17" Type="http://schemas.openxmlformats.org/officeDocument/2006/relationships/hyperlink" Target="https://www.sec.gov/Archives/edgar/data/0001056696/000119312526140024/manh-20260402.htm#appendixa_firstamendmenttoequityplan"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2026-05-20T10:48:01Z</dcterms:created>
  <dcterms:modified xsi:type="dcterms:W3CDTF">2026-05-20T10:48:01Z</dcterms:modified>
</cp:coreProperties>
</file>