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w:t>
      </w:r>
      <w:r>
        <w:rPr>
          <w:rFonts w:ascii="Times New Roman" w:cs="Times New Roman" w:eastAsia="Times New Roman" w:hAnsi="Times New Roman"/>
          <w:sz w:val="17"/>
          <w:szCs w:val="17"/>
          <w:b w:val="1"/>
          <w:bCs w:val="1"/>
          <w:color w:val="auto"/>
        </w:rPr>
        <w:t>nited</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nd</w:t>
      </w:r>
      <w:r>
        <w:rPr>
          <w:rFonts w:ascii="Times New Roman" w:cs="Times New Roman" w:eastAsia="Times New Roman" w:hAnsi="Times New Roman"/>
          <w:sz w:val="25"/>
          <w:szCs w:val="25"/>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Washington, DC 20549</w:t>
      </w:r>
    </w:p>
    <w:p>
      <w:pPr>
        <w:ind w:left="4860"/>
        <w:spacing w:after="0"/>
        <w:rPr>
          <w:sz w:val="20"/>
          <w:szCs w:val="20"/>
          <w:color w:val="auto"/>
        </w:rPr>
      </w:pPr>
      <w:r>
        <w:rPr>
          <w:rFonts w:ascii="Times New Roman" w:cs="Times New Roman" w:eastAsia="Times New Roman" w:hAnsi="Times New Roman"/>
          <w:sz w:val="22"/>
          <w:szCs w:val="22"/>
          <w:color w:val="auto"/>
        </w:rPr>
        <w:t>______________</w:t>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____________</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Date of Report (Date of earliest event reported): April 21, 2026</w:t>
      </w:r>
    </w:p>
    <w:p>
      <w:pPr>
        <w:spacing w:after="0" w:line="1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M</w:t>
      </w:r>
      <w:r>
        <w:rPr>
          <w:rFonts w:ascii="Times New Roman" w:cs="Times New Roman" w:eastAsia="Times New Roman" w:hAnsi="Times New Roman"/>
          <w:sz w:val="20"/>
          <w:szCs w:val="20"/>
          <w:b w:val="1"/>
          <w:bCs w:val="1"/>
          <w:color w:val="auto"/>
        </w:rPr>
        <w:t>anhattan</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0"/>
          <w:szCs w:val="20"/>
          <w:b w:val="1"/>
          <w:bCs w:val="1"/>
          <w:color w:val="auto"/>
        </w:rPr>
        <w:t>ssociates</w:t>
      </w:r>
      <w:r>
        <w:rPr>
          <w:rFonts w:ascii="Times New Roman" w:cs="Times New Roman" w:eastAsia="Times New Roman" w:hAnsi="Times New Roman"/>
          <w:sz w:val="29"/>
          <w:szCs w:val="29"/>
          <w:b w:val="1"/>
          <w:bCs w:val="1"/>
          <w:color w:val="auto"/>
        </w:rPr>
        <w:t>,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2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Georgia</w:t>
      </w:r>
    </w:p>
    <w:p>
      <w:pPr>
        <w:spacing w:after="0" w:line="2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7"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100" w:type="dxa"/>
            <w:vAlign w:val="bottom"/>
          </w:tcPr>
          <w:p>
            <w:pPr>
              <w:jc w:val="center"/>
              <w:ind w:right="1067"/>
              <w:spacing w:after="0"/>
              <w:rPr>
                <w:sz w:val="20"/>
                <w:szCs w:val="20"/>
                <w:color w:val="auto"/>
              </w:rPr>
            </w:pPr>
            <w:r>
              <w:rPr>
                <w:rFonts w:ascii="Times New Roman" w:cs="Times New Roman" w:eastAsia="Times New Roman" w:hAnsi="Times New Roman"/>
                <w:sz w:val="20"/>
                <w:szCs w:val="20"/>
                <w:b w:val="1"/>
                <w:bCs w:val="1"/>
                <w:color w:val="auto"/>
                <w:w w:val="98"/>
              </w:rPr>
              <w:t>0-23999</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20"/>
                <w:szCs w:val="20"/>
                <w:b w:val="1"/>
                <w:bCs w:val="1"/>
                <w:color w:val="auto"/>
                <w:w w:val="99"/>
              </w:rPr>
              <w:t>58-2373424</w:t>
            </w:r>
          </w:p>
        </w:tc>
      </w:tr>
      <w:tr>
        <w:trPr>
          <w:trHeight w:val="216"/>
        </w:trPr>
        <w:tc>
          <w:tcPr>
            <w:tcW w:w="2100" w:type="dxa"/>
            <w:vAlign w:val="bottom"/>
          </w:tcPr>
          <w:p>
            <w:pPr>
              <w:jc w:val="center"/>
              <w:ind w:right="1047"/>
              <w:spacing w:after="0"/>
              <w:rPr>
                <w:sz w:val="20"/>
                <w:szCs w:val="20"/>
                <w:color w:val="auto"/>
              </w:rPr>
            </w:pPr>
            <w:r>
              <w:rPr>
                <w:rFonts w:ascii="Times New Roman" w:cs="Times New Roman" w:eastAsia="Times New Roman" w:hAnsi="Times New Roman"/>
                <w:sz w:val="18"/>
                <w:szCs w:val="18"/>
                <w:color w:val="auto"/>
                <w:w w:val="98"/>
              </w:rPr>
              <w:t>(Commission</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047"/>
              <w:spacing w:after="0"/>
              <w:rPr>
                <w:sz w:val="20"/>
                <w:szCs w:val="20"/>
                <w:color w:val="auto"/>
              </w:rPr>
            </w:pPr>
            <w:r>
              <w:rPr>
                <w:rFonts w:ascii="Times New Roman" w:cs="Times New Roman" w:eastAsia="Times New Roman" w:hAnsi="Times New Roman"/>
                <w:sz w:val="18"/>
                <w:szCs w:val="18"/>
                <w:color w:val="auto"/>
                <w:w w:val="98"/>
              </w:rPr>
              <w:t>File Number)</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185" w:lineRule="exact"/>
        <w:rPr>
          <w:sz w:val="24"/>
          <w:szCs w:val="24"/>
          <w:color w:val="auto"/>
        </w:rPr>
      </w:pPr>
    </w:p>
    <w:p>
      <w:pPr>
        <w:sectPr>
          <w:pgSz w:w="11900" w:h="16838" w:orient="portrait"/>
          <w:cols w:equalWidth="0" w:num="2">
            <w:col w:w="4440" w:space="720"/>
            <w:col w:w="6020"/>
          </w:cols>
          <w:pgMar w:left="320" w:top="1440"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2300 Windy Ridge Parkway, Tenth Floor, Atlanta, Georgia</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30339</w:t>
      </w:r>
    </w:p>
    <w:p>
      <w:pPr>
        <w:jc w:val="center"/>
        <w:ind w:right="-79"/>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jc w:val="center"/>
        <w:ind w:right="-79"/>
        <w:spacing w:after="0"/>
        <w:rPr>
          <w:sz w:val="20"/>
          <w:szCs w:val="20"/>
          <w:color w:val="auto"/>
        </w:rPr>
      </w:pPr>
      <w:r>
        <w:rPr>
          <w:rFonts w:ascii="Times New Roman" w:cs="Times New Roman" w:eastAsia="Times New Roman" w:hAnsi="Times New Roman"/>
          <w:sz w:val="20"/>
          <w:szCs w:val="20"/>
          <w:color w:val="auto"/>
        </w:rPr>
        <w:t>(Zip Code)</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(770) 955-7070</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1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1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15" w:lineRule="exact"/>
        <w:rPr>
          <w:rFonts w:ascii="MS PGothic" w:cs="MS PGothic" w:eastAsia="MS PGothic" w:hAnsi="MS PGothic"/>
          <w:sz w:val="18"/>
          <w:szCs w:val="18"/>
          <w:color w:val="auto"/>
        </w:rPr>
      </w:pPr>
    </w:p>
    <w:p>
      <w:pPr>
        <w:ind w:right="3360" w:firstLine="105"/>
        <w:spacing w:after="0" w:line="527" w:lineRule="auto"/>
        <w:tabs>
          <w:tab w:leader="none" w:pos="5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4"/>
        </w:trPr>
        <w:tc>
          <w:tcPr>
            <w:tcW w:w="4300" w:type="dxa"/>
            <w:vAlign w:val="bottom"/>
            <w:tcBorders>
              <w:top w:val="single" w:sz="8" w:color="auto"/>
              <w:left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5060" w:type="dxa"/>
            <w:vAlign w:val="bottom"/>
            <w:tcBorders>
              <w:top w:val="single" w:sz="8" w:color="auto"/>
              <w:right w:val="single" w:sz="8" w:color="auto"/>
            </w:tcBorders>
          </w:tcPr>
          <w:p>
            <w:pPr>
              <w:spacing w:after="0"/>
              <w:rPr>
                <w:sz w:val="16"/>
                <w:szCs w:val="16"/>
                <w:color w:val="auto"/>
              </w:rPr>
            </w:pPr>
          </w:p>
        </w:tc>
      </w:tr>
      <w:tr>
        <w:trPr>
          <w:trHeight w:val="234"/>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5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1"/>
        </w:trPr>
        <w:tc>
          <w:tcPr>
            <w:tcW w:w="43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Common stock</w:t>
            </w:r>
          </w:p>
        </w:tc>
        <w:tc>
          <w:tcPr>
            <w:tcW w:w="16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MANH</w:t>
            </w:r>
          </w:p>
        </w:tc>
        <w:tc>
          <w:tcPr>
            <w:tcW w:w="50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9"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760"/>
        <w:spacing w:after="0" w:line="184" w:lineRule="exact"/>
        <w:tabs>
          <w:tab w:leader="none" w:pos="26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7" w:lineRule="exact"/>
        <w:rPr>
          <w:sz w:val="24"/>
          <w:szCs w:val="24"/>
          <w:color w:val="auto"/>
        </w:rPr>
      </w:pPr>
    </w:p>
    <w:p>
      <w:pPr>
        <w:ind w:right="50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3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On April 21, 2026, Manhattan Associates, Inc. (“we”, “our”, or the “Company”) issued a press release providing its financial results for the three months ended March 31, 2026. A copy of this press release is attached as Exhibit 99.1. Pursuant to General Instruction B.2 of Form 8-K, this exhibit is “furnished” and not “filed” for purposes of Section 18 of the Securities Exchange Act of 1934.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 in the Press Release</w:t>
      </w:r>
    </w:p>
    <w:p>
      <w:pPr>
        <w:spacing w:after="0" w:line="220"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The press release includes, as additional information regarding our operating results, our adjusted operating income and margin, adjusted income tax provision, adjusted net income and adjusted diluted earnings per share (collectively, “adjusted results”), which exclude the impact of equity-based compensation, expense related to an unusual health insurance claim, net of insurance recoveries, restructuring expense, and related income tax effects.</w:t>
      </w:r>
    </w:p>
    <w:p>
      <w:pPr>
        <w:spacing w:after="0" w:line="180"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These various measures are not in accordance with, or alternatives for, financial measures calculated in accordance with generally accepted accounting principles in the United States (“GAAP”) and may be different from similarly titled non-GAAP financial measures used by other companies. Non-GAAP financial measures should not be used as a substitute for, or considered superior to, measures of financial performance prepared in accordance with GAAP.</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Non-GAAP measures used in the press release exclude the impact of the items described above for the following reasons:</w:t>
      </w:r>
    </w:p>
    <w:p>
      <w:pPr>
        <w:spacing w:after="0" w:line="104" w:lineRule="exact"/>
        <w:rPr>
          <w:sz w:val="20"/>
          <w:szCs w:val="20"/>
          <w:color w:val="auto"/>
        </w:rPr>
      </w:pPr>
    </w:p>
    <w:p>
      <w:pPr>
        <w:jc w:val="both"/>
        <w:ind w:left="1020" w:right="240" w:hanging="503"/>
        <w:spacing w:after="0" w:line="276" w:lineRule="auto"/>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Equity-Based Compensation</w:t>
      </w:r>
      <w:r>
        <w:rPr>
          <w:rFonts w:ascii="Times New Roman" w:cs="Times New Roman" w:eastAsia="Times New Roman" w:hAnsi="Times New Roman"/>
          <w:sz w:val="19"/>
          <w:szCs w:val="19"/>
          <w:color w:val="auto"/>
        </w:rPr>
        <w:t>: Equity-based compensation expense typically does not require cash settlement by the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We also exclude the tax benefits or deficiencies of vested stock awards caused by differences in the amount deductible for tax purposes related to the stock award from the compensation expense recorded for financial reporting purposes.</w:t>
      </w:r>
    </w:p>
    <w:p>
      <w:pPr>
        <w:spacing w:after="0" w:line="42" w:lineRule="exact"/>
        <w:rPr>
          <w:rFonts w:ascii="Times New Roman" w:cs="Times New Roman" w:eastAsia="Times New Roman" w:hAnsi="Times New Roman"/>
          <w:sz w:val="19"/>
          <w:szCs w:val="19"/>
          <w:color w:val="auto"/>
        </w:rPr>
      </w:pPr>
    </w:p>
    <w:p>
      <w:pPr>
        <w:ind w:left="10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Unusual Health Insurance Claim, Net of Insurance Recoveries</w:t>
      </w:r>
      <w:r>
        <w:rPr>
          <w:rFonts w:ascii="Times New Roman" w:cs="Times New Roman" w:eastAsia="Times New Roman" w:hAnsi="Times New Roman"/>
          <w:sz w:val="20"/>
          <w:szCs w:val="20"/>
          <w:color w:val="auto"/>
        </w:rPr>
        <w:t>: Due to the uncommonly large magnitude and nature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health insurance claim and timing of related insurance recoveries, we do not believe that this expense is a typical cost that results from normal operating activities.</w:t>
      </w:r>
    </w:p>
    <w:p>
      <w:pPr>
        <w:spacing w:after="0" w:line="60" w:lineRule="exact"/>
        <w:rPr>
          <w:rFonts w:ascii="Times New Roman" w:cs="Times New Roman" w:eastAsia="Times New Roman" w:hAnsi="Times New Roman"/>
          <w:sz w:val="20"/>
          <w:szCs w:val="20"/>
          <w:color w:val="auto"/>
        </w:rPr>
      </w:pPr>
    </w:p>
    <w:p>
      <w:pPr>
        <w:ind w:left="1020" w:right="44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Restructuring Expense</w:t>
      </w:r>
      <w:r>
        <w:rPr>
          <w:rFonts w:ascii="Times New Roman" w:cs="Times New Roman" w:eastAsia="Times New Roman" w:hAnsi="Times New Roman"/>
          <w:sz w:val="20"/>
          <w:szCs w:val="20"/>
          <w:color w:val="auto"/>
        </w:rPr>
        <w:t>: We do not believe that the restructuring expense related to a reduction in our workforce recorded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is a common cost that results from normal operating activities; rather, it relates to aligning our services capacity with customer demand which has been impacted by macro-economic uncertainty.</w:t>
      </w:r>
    </w:p>
    <w:p>
      <w:pPr>
        <w:spacing w:after="0" w:line="173" w:lineRule="exact"/>
        <w:rPr>
          <w:sz w:val="20"/>
          <w:szCs w:val="20"/>
          <w:color w:val="auto"/>
        </w:rPr>
      </w:pPr>
    </w:p>
    <w:p>
      <w:pPr>
        <w:jc w:val="both"/>
        <w:ind w:right="80" w:firstLine="749"/>
        <w:spacing w:after="0" w:line="254" w:lineRule="auto"/>
        <w:rPr>
          <w:sz w:val="20"/>
          <w:szCs w:val="20"/>
          <w:color w:val="auto"/>
        </w:rPr>
      </w:pPr>
      <w:r>
        <w:rPr>
          <w:rFonts w:ascii="Times New Roman" w:cs="Times New Roman" w:eastAsia="Times New Roman" w:hAnsi="Times New Roman"/>
          <w:sz w:val="20"/>
          <w:szCs w:val="20"/>
          <w:color w:val="auto"/>
        </w:rPr>
        <w:t>We assess our operating performance using these adjusted measures, and we rely on adjusted results as primary measures to review and assess the operating performance of our management team in connection with our executive compensation and bonus plans. Further, we believe our peers also typically present non-GAAP results similarly adjusted.</w:t>
      </w:r>
    </w:p>
    <w:p>
      <w:pPr>
        <w:spacing w:after="0" w:line="174"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0"/>
          <w:szCs w:val="20"/>
          <w:color w:val="auto"/>
        </w:rPr>
        <w:t>Management refers to adjusted results in making operating decisions because we believe they provide meaningful information regarding our operational performance and our ability to invest in research and development and fund capital expenditures and acquisitions. In addition, adjusted results facilitate management’s internal comparisons to our historical operating results and comparisons to competitors’ operating results.</w:t>
      </w:r>
    </w:p>
    <w:p>
      <w:pPr>
        <w:spacing w:after="0" w:line="180" w:lineRule="exact"/>
        <w:rPr>
          <w:sz w:val="20"/>
          <w:szCs w:val="20"/>
          <w:color w:val="auto"/>
        </w:rPr>
      </w:pPr>
    </w:p>
    <w:p>
      <w:pPr>
        <w:jc w:val="both"/>
        <w:ind w:right="400" w:firstLine="749"/>
        <w:spacing w:after="0" w:line="248" w:lineRule="auto"/>
        <w:rPr>
          <w:sz w:val="20"/>
          <w:szCs w:val="20"/>
          <w:color w:val="auto"/>
        </w:rPr>
      </w:pPr>
      <w:r>
        <w:rPr>
          <w:rFonts w:ascii="Times New Roman" w:cs="Times New Roman" w:eastAsia="Times New Roman" w:hAnsi="Times New Roman"/>
          <w:sz w:val="20"/>
          <w:szCs w:val="20"/>
          <w:color w:val="auto"/>
        </w:rPr>
        <w:t>We similarly believe reporting adjusted results facilitates investors’ understanding of our historical operating trends because it provides supplemental measurement information in evaluating the operating results of our business. We also believe that adjusted results provide a basis for comparisons to other</w:t>
      </w: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360"/>
        <w:spacing w:after="0" w:line="269" w:lineRule="auto"/>
        <w:rPr>
          <w:sz w:val="20"/>
          <w:szCs w:val="20"/>
          <w:color w:val="auto"/>
        </w:rPr>
      </w:pPr>
      <w:r>
        <w:rPr>
          <w:rFonts w:ascii="Times New Roman" w:cs="Times New Roman" w:eastAsia="Times New Roman" w:hAnsi="Times New Roman"/>
          <w:sz w:val="20"/>
          <w:szCs w:val="20"/>
          <w:color w:val="auto"/>
        </w:rPr>
        <w:t>companies in the industry and enable investors to evaluate our operating performance in a manner consistent with our internal basis of measurement.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0" w:lineRule="exact"/>
        <w:rPr>
          <w:sz w:val="20"/>
          <w:szCs w:val="20"/>
          <w:color w:val="auto"/>
        </w:rPr>
      </w:pPr>
    </w:p>
    <w:p>
      <w:pPr>
        <w:ind w:left="2020" w:hanging="794"/>
        <w:spacing w:after="0"/>
        <w:tabs>
          <w:tab w:leader="none" w:pos="2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12" w:lineRule="exact"/>
        <w:rPr>
          <w:sz w:val="20"/>
          <w:szCs w:val="20"/>
          <w:color w:val="auto"/>
        </w:rPr>
      </w:pPr>
    </w:p>
    <w:tbl>
      <w:tblPr>
        <w:tblLayout w:type="fixed"/>
        <w:tblInd w:w="1900" w:type="dxa"/>
        <w:tblCellMar>
          <w:top w:w="0" w:type="dxa"/>
          <w:left w:w="0" w:type="dxa"/>
          <w:bottom w:w="0" w:type="dxa"/>
          <w:right w:w="0" w:type="dxa"/>
        </w:tblCellMar>
      </w:tblPr>
      <w:tr>
        <w:trPr>
          <w:trHeight w:val="262"/>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23"/>
        </w:trPr>
        <w:tc>
          <w:tcPr>
            <w:tcW w:w="16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Number</w:t>
            </w:r>
          </w:p>
        </w:tc>
        <w:tc>
          <w:tcPr>
            <w:tcW w:w="6360" w:type="dxa"/>
            <w:vAlign w:val="bottom"/>
            <w:gridSpan w:val="3"/>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900" w:type="dxa"/>
            <w:vAlign w:val="bottom"/>
          </w:tcPr>
          <w:p>
            <w:pPr>
              <w:spacing w:after="0"/>
              <w:rPr>
                <w:sz w:val="24"/>
                <w:szCs w:val="24"/>
                <w:color w:val="auto"/>
              </w:rPr>
            </w:pPr>
          </w:p>
        </w:tc>
        <w:tc>
          <w:tcPr>
            <w:tcW w:w="2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FF"/>
              </w:rPr>
              <w:t>Press Release, dated April 21, 2026</w:t>
            </w:r>
          </w:p>
        </w:tc>
        <w:tc>
          <w:tcPr>
            <w:tcW w:w="3480" w:type="dxa"/>
            <w:vAlign w:val="bottom"/>
          </w:tcPr>
          <w:p>
            <w:pPr>
              <w:spacing w:after="0"/>
              <w:rPr>
                <w:sz w:val="24"/>
                <w:szCs w:val="24"/>
                <w:color w:val="auto"/>
              </w:rPr>
            </w:pPr>
          </w:p>
        </w:tc>
      </w:tr>
      <w:tr>
        <w:trPr>
          <w:trHeight w:val="51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0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Company has duly caused this report to be signed on its behalf by the undersigned, hereunto duly authorized.</w:t>
      </w:r>
    </w:p>
    <w:p>
      <w:pPr>
        <w:spacing w:after="0" w:line="1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anhattan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ssociates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Linda Pinne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-8255</wp:posOffset>
            </wp:positionV>
            <wp:extent cx="2079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i w:val="1"/>
          <w:iCs w:val="1"/>
          <w:color w:val="auto"/>
        </w:rPr>
        <w:t>Linda Pinne</w:t>
      </w:r>
    </w:p>
    <w:p>
      <w:pPr>
        <w:ind w:left="3560"/>
        <w:spacing w:after="0"/>
        <w:rPr>
          <w:sz w:val="20"/>
          <w:szCs w:val="20"/>
          <w:color w:val="auto"/>
        </w:rPr>
      </w:pPr>
      <w:r>
        <w:rPr>
          <w:rFonts w:ascii="Times New Roman" w:cs="Times New Roman" w:eastAsia="Times New Roman" w:hAnsi="Times New Roman"/>
          <w:sz w:val="20"/>
          <w:szCs w:val="20"/>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April 21, 2026</w:t>
      </w: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7"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0840"/>
          </w:cols>
          <w:pgMar w:left="720" w:top="76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Michael Bauer</w:t>
      </w:r>
    </w:p>
    <w:p>
      <w:pPr>
        <w:spacing w:after="0"/>
        <w:rPr>
          <w:sz w:val="20"/>
          <w:szCs w:val="20"/>
          <w:color w:val="auto"/>
        </w:rPr>
      </w:pPr>
      <w:r>
        <w:rPr>
          <w:rFonts w:ascii="Arial" w:cs="Arial" w:eastAsia="Arial" w:hAnsi="Arial"/>
          <w:sz w:val="22"/>
          <w:szCs w:val="22"/>
          <w:color w:val="auto"/>
        </w:rPr>
        <w:t>VP, Investor Relations</w:t>
      </w:r>
    </w:p>
    <w:p>
      <w:pPr>
        <w:spacing w:after="0"/>
        <w:rPr>
          <w:sz w:val="20"/>
          <w:szCs w:val="20"/>
          <w:color w:val="auto"/>
        </w:rPr>
      </w:pPr>
      <w:r>
        <w:rPr>
          <w:rFonts w:ascii="Arial" w:cs="Arial" w:eastAsia="Arial" w:hAnsi="Arial"/>
          <w:sz w:val="21"/>
          <w:szCs w:val="21"/>
          <w:color w:val="auto"/>
        </w:rPr>
        <w:t>Manhattan Associates, Inc.</w:t>
      </w:r>
    </w:p>
    <w:p>
      <w:pPr>
        <w:spacing w:after="0" w:line="231" w:lineRule="auto"/>
        <w:rPr>
          <w:sz w:val="20"/>
          <w:szCs w:val="20"/>
          <w:color w:val="auto"/>
        </w:rPr>
      </w:pPr>
      <w:r>
        <w:rPr>
          <w:rFonts w:ascii="Arial" w:cs="Arial" w:eastAsia="Arial" w:hAnsi="Arial"/>
          <w:sz w:val="22"/>
          <w:szCs w:val="22"/>
          <w:color w:val="auto"/>
        </w:rPr>
        <w:t>678-597-7538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33CC"/>
        </w:rPr>
        <w:t>mbauer@manh.com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Devika Goel</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Director, Corporate Communications &amp; PR</w:t>
      </w:r>
    </w:p>
    <w:p>
      <w:pPr>
        <w:spacing w:after="0" w:line="231" w:lineRule="auto"/>
        <w:rPr>
          <w:sz w:val="20"/>
          <w:szCs w:val="20"/>
          <w:color w:val="auto"/>
        </w:rPr>
      </w:pPr>
      <w:r>
        <w:rPr>
          <w:rFonts w:ascii="Arial" w:cs="Arial" w:eastAsia="Arial" w:hAnsi="Arial"/>
          <w:sz w:val="22"/>
          <w:szCs w:val="22"/>
          <w:color w:val="auto"/>
        </w:rPr>
        <w:t>Manhattan Associates, Inc.</w:t>
      </w:r>
    </w:p>
    <w:p>
      <w:pPr>
        <w:spacing w:after="0" w:line="231" w:lineRule="auto"/>
        <w:rPr>
          <w:sz w:val="20"/>
          <w:szCs w:val="20"/>
          <w:color w:val="auto"/>
        </w:rPr>
      </w:pPr>
      <w:r>
        <w:rPr>
          <w:rFonts w:ascii="Arial" w:cs="Arial" w:eastAsia="Arial" w:hAnsi="Arial"/>
          <w:sz w:val="22"/>
          <w:szCs w:val="22"/>
          <w:color w:val="auto"/>
        </w:rPr>
        <w:t>678-597-6754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33CC"/>
        </w:rPr>
        <w:t>dgoel@manh.com</w:t>
      </w:r>
    </w:p>
    <w:p>
      <w:pPr>
        <w:spacing w:after="0" w:line="200" w:lineRule="exact"/>
        <w:rPr>
          <w:sz w:val="20"/>
          <w:szCs w:val="20"/>
          <w:color w:val="auto"/>
        </w:rPr>
      </w:pPr>
    </w:p>
    <w:p>
      <w:pPr>
        <w:sectPr>
          <w:pgSz w:w="11900" w:h="16838" w:orient="portrait"/>
          <w:cols w:equalWidth="0" w:num="3">
            <w:col w:w="1160" w:space="360"/>
            <w:col w:w="3060" w:space="720"/>
            <w:col w:w="5540"/>
          </w:cols>
          <w:pgMar w:left="720" w:top="769" w:right="339" w:bottom="1440" w:gutter="0" w:footer="0" w:header="0"/>
          <w:type w:val="continuous"/>
        </w:sectPr>
      </w:pPr>
    </w:p>
    <w:p>
      <w:pPr>
        <w:spacing w:after="0" w:line="285" w:lineRule="exact"/>
        <w:rPr>
          <w:sz w:val="20"/>
          <w:szCs w:val="20"/>
          <w:color w:val="auto"/>
        </w:rPr>
      </w:pPr>
    </w:p>
    <w:p>
      <w:pPr>
        <w:jc w:val="center"/>
        <w:ind w:right="460"/>
        <w:spacing w:after="0"/>
        <w:rPr>
          <w:sz w:val="20"/>
          <w:szCs w:val="20"/>
          <w:color w:val="auto"/>
        </w:rPr>
      </w:pPr>
      <w:r>
        <w:rPr>
          <w:rFonts w:ascii="Arial" w:cs="Arial" w:eastAsia="Arial" w:hAnsi="Arial"/>
          <w:sz w:val="25"/>
          <w:szCs w:val="25"/>
          <w:b w:val="1"/>
          <w:bCs w:val="1"/>
          <w:color w:val="auto"/>
        </w:rPr>
        <w:t>Manhattan Associates Reports First Quarter Results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RPO Increased 24% over Prior Year</w:t>
      </w:r>
    </w:p>
    <w:p>
      <w:pPr>
        <w:spacing w:after="0" w:line="310" w:lineRule="exact"/>
        <w:rPr>
          <w:sz w:val="20"/>
          <w:szCs w:val="20"/>
          <w:color w:val="auto"/>
        </w:rPr>
      </w:pPr>
    </w:p>
    <w:p>
      <w:pPr>
        <w:ind w:left="360" w:right="900"/>
        <w:spacing w:after="0" w:line="235" w:lineRule="auto"/>
        <w:rPr>
          <w:sz w:val="20"/>
          <w:szCs w:val="20"/>
          <w:color w:val="auto"/>
        </w:rPr>
      </w:pPr>
      <w:r>
        <w:rPr>
          <w:rFonts w:ascii="Arial" w:cs="Arial" w:eastAsia="Arial" w:hAnsi="Arial"/>
          <w:sz w:val="20"/>
          <w:szCs w:val="20"/>
          <w:b w:val="1"/>
          <w:bCs w:val="1"/>
          <w:color w:val="auto"/>
        </w:rPr>
        <w:t xml:space="preserve">ATLANTA – April 21, 2026 – </w:t>
      </w:r>
      <w:r>
        <w:rPr>
          <w:rFonts w:ascii="Arial" w:cs="Arial" w:eastAsia="Arial" w:hAnsi="Arial"/>
          <w:sz w:val="20"/>
          <w:szCs w:val="20"/>
          <w:color w:val="auto"/>
        </w:rPr>
        <w:t>Leading Supply Chain and Omnichannel Commerce Solutions provider</w:t>
      </w:r>
      <w:r>
        <w:rPr>
          <w:rFonts w:ascii="Arial" w:cs="Arial" w:eastAsia="Arial" w:hAnsi="Arial"/>
          <w:sz w:val="20"/>
          <w:szCs w:val="20"/>
          <w:b w:val="1"/>
          <w:bCs w:val="1"/>
          <w:color w:val="auto"/>
        </w:rPr>
        <w:t xml:space="preserve"> </w:t>
      </w:r>
      <w:r>
        <w:rPr>
          <w:rFonts w:ascii="Arial" w:cs="Arial" w:eastAsia="Arial" w:hAnsi="Arial"/>
          <w:sz w:val="20"/>
          <w:szCs w:val="20"/>
          <w:color w:val="auto"/>
        </w:rPr>
        <w:t>Manhattan Associates Inc. (NASDAQ: MANH) today reported revenue of $282.2 million for the first quarter ended March 31, 2026, compared to $262.8 million in Q1 2025. GAAP diluted earnings per share for Q1 2026 was $ 0.82 compared to $ 0.85 in Q1 2025. Non-GAAP adjusted diluted earnings per share for Q1 2026 was $1.24 compared to $1.19 in Q1 2025.</w:t>
      </w:r>
    </w:p>
    <w:p>
      <w:pPr>
        <w:spacing w:after="0" w:line="172" w:lineRule="exact"/>
        <w:rPr>
          <w:sz w:val="20"/>
          <w:szCs w:val="20"/>
          <w:color w:val="auto"/>
        </w:rPr>
      </w:pPr>
    </w:p>
    <w:p>
      <w:pPr>
        <w:ind w:left="360" w:right="840"/>
        <w:spacing w:after="0" w:line="241" w:lineRule="auto"/>
        <w:rPr>
          <w:sz w:val="20"/>
          <w:szCs w:val="20"/>
          <w:color w:val="auto"/>
        </w:rPr>
      </w:pPr>
      <w:r>
        <w:rPr>
          <w:rFonts w:ascii="Arial" w:cs="Arial" w:eastAsia="Arial" w:hAnsi="Arial"/>
          <w:sz w:val="20"/>
          <w:szCs w:val="20"/>
          <w:color w:val="auto"/>
        </w:rPr>
        <w:t>“Manhattan is off to a strong start to 2026. On solid and broad-based demand, we accelerated our Q1 revenue growth and delivered better than expected bookings,” said Manhattan Associates president and CEO Eric Clark.</w:t>
      </w:r>
    </w:p>
    <w:p>
      <w:pPr>
        <w:spacing w:after="0" w:line="171" w:lineRule="exact"/>
        <w:rPr>
          <w:sz w:val="20"/>
          <w:szCs w:val="20"/>
          <w:color w:val="auto"/>
        </w:rPr>
      </w:pPr>
    </w:p>
    <w:p>
      <w:pPr>
        <w:ind w:left="360" w:right="880"/>
        <w:spacing w:after="0" w:line="237" w:lineRule="auto"/>
        <w:rPr>
          <w:sz w:val="20"/>
          <w:szCs w:val="20"/>
          <w:color w:val="auto"/>
        </w:rPr>
      </w:pPr>
      <w:r>
        <w:rPr>
          <w:rFonts w:ascii="Arial" w:cs="Arial" w:eastAsia="Arial" w:hAnsi="Arial"/>
          <w:sz w:val="20"/>
          <w:szCs w:val="20"/>
          <w:color w:val="auto"/>
        </w:rPr>
        <w:t>“While macro volatility persists, Manhattan’s fundamentals are solid. With a strong pipeline across our product suite, numerous opportunities to drive growth, and our unmatched ability to consistently deliver leading innovation to the supply chain commerce universe, we are optimistic about our long-term growth opportunity,” Mr. Clark concluded.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SUMMARY:</w:t>
      </w:r>
    </w:p>
    <w:p>
      <w:pPr>
        <w:spacing w:after="0" w:line="204" w:lineRule="exact"/>
        <w:rPr>
          <w:sz w:val="20"/>
          <w:szCs w:val="20"/>
          <w:color w:val="auto"/>
        </w:rPr>
      </w:pPr>
    </w:p>
    <w:p>
      <w:pPr>
        <w:ind w:left="1080" w:hanging="349"/>
        <w:spacing w:after="0"/>
        <w:tabs>
          <w:tab w:leader="none" w:pos="10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total revenue was $282.2 million for Q1 2026, compared to $262.8 million for Q1 2025.</w:t>
      </w:r>
    </w:p>
    <w:p>
      <w:pPr>
        <w:spacing w:after="0" w:line="107" w:lineRule="exact"/>
        <w:rPr>
          <w:sz w:val="20"/>
          <w:szCs w:val="20"/>
          <w:color w:val="auto"/>
        </w:rPr>
      </w:pPr>
    </w:p>
    <w:p>
      <w:pPr>
        <w:ind w:left="1640" w:right="1040" w:hanging="347"/>
        <w:spacing w:after="0" w:line="256" w:lineRule="auto"/>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Cloud subscription revenue was $117.1 million for Q1 2026, compared to $94.3 million for Q1 2025.</w:t>
      </w:r>
    </w:p>
    <w:p>
      <w:pPr>
        <w:spacing w:after="0" w:line="48" w:lineRule="exact"/>
        <w:rPr>
          <w:rFonts w:ascii="Times New Roman" w:cs="Times New Roman" w:eastAsia="Times New Roman" w:hAnsi="Times New Roman"/>
          <w:sz w:val="20"/>
          <w:szCs w:val="20"/>
          <w:color w:val="auto"/>
        </w:rPr>
      </w:pPr>
    </w:p>
    <w:p>
      <w:pPr>
        <w:ind w:left="1640" w:hanging="347"/>
        <w:spacing w:after="0"/>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License revenue was $2.2 million for Q1 2026, compared to $9.3 million for Q1 2025.</w:t>
      </w:r>
    </w:p>
    <w:p>
      <w:pPr>
        <w:spacing w:after="0" w:line="106" w:lineRule="exact"/>
        <w:rPr>
          <w:rFonts w:ascii="Times New Roman" w:cs="Times New Roman" w:eastAsia="Times New Roman" w:hAnsi="Times New Roman"/>
          <w:sz w:val="20"/>
          <w:szCs w:val="20"/>
          <w:color w:val="auto"/>
        </w:rPr>
      </w:pPr>
    </w:p>
    <w:p>
      <w:pPr>
        <w:ind w:left="1640" w:hanging="347"/>
        <w:spacing w:after="0"/>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was $125.7 million for Q1 2026, compared to $121.1 million for Q1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1191895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81280</wp:posOffset>
            </wp:positionV>
            <wp:extent cx="617220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type w:val="continuous"/>
        </w:sectPr>
      </w:pPr>
    </w:p>
    <w:bookmarkStart w:id="4" w:name="page5"/>
    <w:bookmarkEnd w:id="4"/>
    <w:p>
      <w:pPr>
        <w:ind w:left="360" w:hanging="349"/>
        <w:spacing w:after="0"/>
        <w:tabs>
          <w:tab w:leader="none" w:pos="3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earnings per share was $0.82 for Q1 2026, compared to $0.85 for Q1 2025.</w:t>
      </w:r>
    </w:p>
    <w:p>
      <w:pPr>
        <w:spacing w:after="0" w:line="106" w:lineRule="exact"/>
        <w:rPr>
          <w:rFonts w:ascii="Times New Roman" w:cs="Times New Roman" w:eastAsia="Times New Roman" w:hAnsi="Times New Roman"/>
          <w:sz w:val="20"/>
          <w:szCs w:val="20"/>
          <w:color w:val="auto"/>
        </w:rPr>
      </w:pPr>
    </w:p>
    <w:p>
      <w:pPr>
        <w:ind w:left="360" w:right="520" w:hanging="349"/>
        <w:spacing w:after="0" w:line="256" w:lineRule="auto"/>
        <w:tabs>
          <w:tab w:leader="none" w:pos="3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Adjusted diluted earnings per share, a non-GAAP measure, was $1.24 for Q1 2026, compared to $1.19 for Q1 2025.</w:t>
      </w:r>
    </w:p>
    <w:p>
      <w:pPr>
        <w:spacing w:after="0" w:line="48" w:lineRule="exact"/>
        <w:rPr>
          <w:rFonts w:ascii="Times New Roman" w:cs="Times New Roman" w:eastAsia="Times New Roman" w:hAnsi="Times New Roman"/>
          <w:sz w:val="20"/>
          <w:szCs w:val="20"/>
          <w:color w:val="auto"/>
        </w:rPr>
      </w:pPr>
    </w:p>
    <w:p>
      <w:pPr>
        <w:ind w:left="360" w:hanging="349"/>
        <w:spacing w:after="0"/>
        <w:tabs>
          <w:tab w:leader="none" w:pos="3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GAAP operating income was $64.9 million for Q1 2026, compared to $63.2 million for Q1 2025.</w:t>
      </w:r>
    </w:p>
    <w:p>
      <w:pPr>
        <w:spacing w:after="0" w:line="106" w:lineRule="exact"/>
        <w:rPr>
          <w:rFonts w:ascii="Times New Roman" w:cs="Times New Roman" w:eastAsia="Times New Roman" w:hAnsi="Times New Roman"/>
          <w:sz w:val="20"/>
          <w:szCs w:val="20"/>
          <w:color w:val="auto"/>
        </w:rPr>
      </w:pPr>
    </w:p>
    <w:p>
      <w:pPr>
        <w:ind w:left="360" w:right="120" w:hanging="349"/>
        <w:spacing w:after="0" w:line="256" w:lineRule="auto"/>
        <w:tabs>
          <w:tab w:leader="none" w:pos="3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Adjusted operating income, a non-GAAP measure, was $91.5 million for Q1 2026, compared to $91.3 million for Q1 2025.</w:t>
      </w:r>
    </w:p>
    <w:p>
      <w:pPr>
        <w:spacing w:after="0" w:line="48" w:lineRule="exact"/>
        <w:rPr>
          <w:rFonts w:ascii="Times New Roman" w:cs="Times New Roman" w:eastAsia="Times New Roman" w:hAnsi="Times New Roman"/>
          <w:sz w:val="20"/>
          <w:szCs w:val="20"/>
          <w:color w:val="auto"/>
        </w:rPr>
      </w:pPr>
    </w:p>
    <w:p>
      <w:pPr>
        <w:ind w:left="360" w:hanging="349"/>
        <w:spacing w:after="0" w:line="256" w:lineRule="auto"/>
        <w:tabs>
          <w:tab w:leader="none" w:pos="3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Cash flow from operations was $84.0 million for Q1 2026, compared to $75.3 million for Q1 2025. Days Sales Outstanding was 72 days at March 31, 2026, and 73 days at December 31, 2025.</w:t>
      </w:r>
    </w:p>
    <w:p>
      <w:pPr>
        <w:spacing w:after="0" w:line="48" w:lineRule="exact"/>
        <w:rPr>
          <w:rFonts w:ascii="Times New Roman" w:cs="Times New Roman" w:eastAsia="Times New Roman" w:hAnsi="Times New Roman"/>
          <w:sz w:val="20"/>
          <w:szCs w:val="20"/>
          <w:color w:val="auto"/>
        </w:rPr>
      </w:pPr>
    </w:p>
    <w:p>
      <w:pPr>
        <w:ind w:left="360" w:hanging="349"/>
        <w:spacing w:after="0"/>
        <w:tabs>
          <w:tab w:leader="none" w:pos="3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Cash totaled $226.1 million at March 31, 2026, compared to $328.7 million at December 31, 2025.</w:t>
      </w:r>
    </w:p>
    <w:p>
      <w:pPr>
        <w:spacing w:after="0" w:line="106" w:lineRule="exact"/>
        <w:rPr>
          <w:rFonts w:ascii="Times New Roman" w:cs="Times New Roman" w:eastAsia="Times New Roman" w:hAnsi="Times New Roman"/>
          <w:sz w:val="20"/>
          <w:szCs w:val="20"/>
          <w:color w:val="auto"/>
        </w:rPr>
      </w:pPr>
    </w:p>
    <w:p>
      <w:pPr>
        <w:ind w:left="360" w:right="320" w:hanging="349"/>
        <w:spacing w:after="0" w:line="256" w:lineRule="auto"/>
        <w:tabs>
          <w:tab w:leader="none" w:pos="3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RPO increased to $2.35 billion as of March 31, 2026, compared to $2.23 billion as of December 31, 2025.</w:t>
      </w:r>
    </w:p>
    <w:p>
      <w:pPr>
        <w:spacing w:after="0" w:line="48" w:lineRule="exact"/>
        <w:rPr>
          <w:rFonts w:ascii="Times New Roman" w:cs="Times New Roman" w:eastAsia="Times New Roman" w:hAnsi="Times New Roman"/>
          <w:sz w:val="20"/>
          <w:szCs w:val="20"/>
          <w:color w:val="auto"/>
        </w:rPr>
      </w:pPr>
    </w:p>
    <w:p>
      <w:pPr>
        <w:ind w:left="360" w:right="60" w:hanging="349"/>
        <w:spacing w:after="0" w:line="233" w:lineRule="auto"/>
        <w:tabs>
          <w:tab w:leader="none" w:pos="3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During the three months ended March 31, 2026, the Company repurchased 1,043,312 shares of Manhattan Associates common stock under the share repurchase program authorized by our Board of Directors for a total investment of $150.0 million. In March 2026, our Board of Directors approved an increase to the Company’s share repurchase authority from $100 million to $500 million. As of the end of the quarter, approximately $350.0 million remained under the existing March 2026 repurchase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1164590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53975</wp:posOffset>
            </wp:positionV>
            <wp:extent cx="6172200"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360"/>
          </w:cols>
          <w:pgMar w:left="1440" w:top="1211" w:right="10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2026 GUIDANCE</w:t>
      </w:r>
    </w:p>
    <w:p>
      <w:pPr>
        <w:spacing w:after="0" w:line="96" w:lineRule="exact"/>
        <w:rPr>
          <w:sz w:val="20"/>
          <w:szCs w:val="20"/>
          <w:color w:val="auto"/>
        </w:rPr>
      </w:pPr>
    </w:p>
    <w:p>
      <w:pPr>
        <w:ind w:left="760" w:right="1280"/>
        <w:spacing w:after="0" w:line="257" w:lineRule="auto"/>
        <w:rPr>
          <w:sz w:val="20"/>
          <w:szCs w:val="20"/>
          <w:color w:val="auto"/>
        </w:rPr>
      </w:pPr>
      <w:r>
        <w:rPr>
          <w:rFonts w:ascii="Arial" w:cs="Arial" w:eastAsia="Arial" w:hAnsi="Arial"/>
          <w:sz w:val="20"/>
          <w:szCs w:val="20"/>
          <w:color w:val="auto"/>
        </w:rPr>
        <w:t>Manhattan Associates provides the following revenue, operating margin, and diluted earnings per share guidance for the full year 2026:</w:t>
      </w:r>
    </w:p>
    <w:p>
      <w:pPr>
        <w:spacing w:after="0" w:line="6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auto"/>
        </w:rPr>
        <w:t>Guidance Range - 2026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5020" cy="2503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250317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83"/>
        </w:trPr>
        <w:tc>
          <w:tcPr>
            <w:tcW w:w="5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 in millions, except operating margin and EPS)</w:t>
            </w:r>
          </w:p>
        </w:tc>
        <w:tc>
          <w:tcPr>
            <w:tcW w:w="1720" w:type="dxa"/>
            <w:vAlign w:val="bottom"/>
            <w:tcBorders>
              <w:top w:val="single" w:sz="8" w:color="auto"/>
              <w:bottom w:val="single" w:sz="8" w:color="auto"/>
            </w:tcBorders>
            <w:gridSpan w:val="3"/>
          </w:tcPr>
          <w:p>
            <w:pPr>
              <w:ind w:left="880"/>
              <w:spacing w:after="0" w:line="183" w:lineRule="exact"/>
              <w:rPr>
                <w:sz w:val="20"/>
                <w:szCs w:val="20"/>
                <w:color w:val="auto"/>
              </w:rPr>
            </w:pPr>
            <w:r>
              <w:rPr>
                <w:rFonts w:ascii="Arial" w:cs="Arial" w:eastAsia="Arial" w:hAnsi="Arial"/>
                <w:sz w:val="16"/>
                <w:szCs w:val="16"/>
                <w:b w:val="1"/>
                <w:bCs w:val="1"/>
                <w:color w:val="auto"/>
              </w:rPr>
              <w:t>$ Range</w:t>
            </w:r>
          </w:p>
        </w:tc>
        <w:tc>
          <w:tcPr>
            <w:tcW w:w="700" w:type="dxa"/>
            <w:vAlign w:val="bottom"/>
            <w:tcBorders>
              <w:top w:val="single" w:sz="8" w:color="auto"/>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bottom w:val="single" w:sz="8" w:color="auto"/>
            </w:tcBorders>
          </w:tcPr>
          <w:p>
            <w:pPr>
              <w:jc w:val="right"/>
              <w:ind w:right="799"/>
              <w:spacing w:after="0" w:line="183" w:lineRule="exact"/>
              <w:rPr>
                <w:sz w:val="20"/>
                <w:szCs w:val="20"/>
                <w:color w:val="auto"/>
              </w:rPr>
            </w:pPr>
            <w:r>
              <w:rPr>
                <w:rFonts w:ascii="Arial" w:cs="Arial" w:eastAsia="Arial" w:hAnsi="Arial"/>
                <w:sz w:val="16"/>
                <w:szCs w:val="16"/>
                <w:b w:val="1"/>
                <w:bCs w:val="1"/>
                <w:color w:val="auto"/>
              </w:rPr>
              <w:t>% Growth Range</w:t>
            </w:r>
          </w:p>
        </w:tc>
      </w:tr>
      <w:tr>
        <w:trPr>
          <w:trHeight w:val="183"/>
        </w:trPr>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2280" w:type="dxa"/>
            <w:vAlign w:val="bottom"/>
          </w:tcPr>
          <w:p>
            <w:pPr>
              <w:spacing w:after="0"/>
              <w:rPr>
                <w:sz w:val="15"/>
                <w:szCs w:val="15"/>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Total revenue</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$1,147</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$1,157</w:t>
            </w:r>
          </w:p>
        </w:tc>
        <w:tc>
          <w:tcPr>
            <w:tcW w:w="1100" w:type="dxa"/>
            <w:vAlign w:val="bottom"/>
            <w:gridSpan w:val="2"/>
            <w:shd w:val="clear" w:color="auto" w:fill="CCFFCC"/>
          </w:tcPr>
          <w:p>
            <w:pPr>
              <w:jc w:val="center"/>
              <w:ind w:left="579"/>
              <w:spacing w:after="0"/>
              <w:rPr>
                <w:sz w:val="20"/>
                <w:szCs w:val="20"/>
                <w:color w:val="auto"/>
              </w:rPr>
            </w:pPr>
            <w:r>
              <w:rPr>
                <w:rFonts w:ascii="Arial" w:cs="Arial" w:eastAsia="Arial" w:hAnsi="Arial"/>
                <w:sz w:val="16"/>
                <w:szCs w:val="16"/>
                <w:b w:val="1"/>
                <w:bCs w:val="1"/>
                <w:color w:val="auto"/>
              </w:rPr>
              <w:t>6%</w:t>
            </w:r>
          </w:p>
        </w:tc>
        <w:tc>
          <w:tcPr>
            <w:tcW w:w="2280" w:type="dxa"/>
            <w:vAlign w:val="bottom"/>
            <w:shd w:val="clear" w:color="auto" w:fill="CCFFCC"/>
          </w:tcPr>
          <w:p>
            <w:pPr>
              <w:jc w:val="right"/>
              <w:ind w:right="679"/>
              <w:spacing w:after="0"/>
              <w:rPr>
                <w:sz w:val="20"/>
                <w:szCs w:val="20"/>
                <w:color w:val="auto"/>
              </w:rPr>
            </w:pPr>
            <w:r>
              <w:rPr>
                <w:rFonts w:ascii="Arial" w:cs="Arial" w:eastAsia="Arial" w:hAnsi="Arial"/>
                <w:sz w:val="16"/>
                <w:szCs w:val="16"/>
                <w:b w:val="1"/>
                <w:bCs w:val="1"/>
                <w:color w:val="auto"/>
              </w:rPr>
              <w:t>7%</w:t>
            </w:r>
          </w:p>
        </w:tc>
      </w:tr>
      <w:tr>
        <w:trPr>
          <w:trHeight w:val="358"/>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Margin:</w:t>
            </w:r>
          </w:p>
        </w:tc>
        <w:tc>
          <w:tcPr>
            <w:tcW w:w="366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GAAP operating margin</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24.6%</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24.9%</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2280" w:type="dxa"/>
            <w:vAlign w:val="bottom"/>
            <w:shd w:val="clear" w:color="auto" w:fill="CCFFCC"/>
          </w:tcPr>
          <w:p>
            <w:pPr>
              <w:spacing w:after="0"/>
              <w:rPr>
                <w:sz w:val="16"/>
                <w:szCs w:val="16"/>
                <w:color w:val="auto"/>
              </w:rPr>
            </w:pPr>
          </w:p>
        </w:tc>
      </w:tr>
      <w:tr>
        <w:trPr>
          <w:trHeight w:val="189"/>
        </w:trPr>
        <w:tc>
          <w:tcPr>
            <w:tcW w:w="5060" w:type="dxa"/>
            <w:vAlign w:val="bottom"/>
            <w:tcBorders>
              <w:bottom w:val="single" w:sz="8" w:color="CCFFCC"/>
            </w:tcBorders>
            <w:gridSpan w:val="3"/>
            <w:shd w:val="clear" w:color="auto" w:fill="CCFFCC"/>
          </w:tcPr>
          <w:p>
            <w:pPr>
              <w:ind w:left="60"/>
              <w:spacing w:after="0"/>
              <w:rPr>
                <w:sz w:val="20"/>
                <w:szCs w:val="20"/>
                <w:color w:val="auto"/>
              </w:rPr>
            </w:pPr>
            <w:r>
              <w:rPr>
                <w:rFonts w:ascii="Arial" w:cs="Arial" w:eastAsia="Arial" w:hAnsi="Arial"/>
                <w:sz w:val="16"/>
                <w:szCs w:val="16"/>
                <w:b w:val="1"/>
                <w:bCs w:val="1"/>
                <w:color w:val="auto"/>
              </w:rPr>
              <w:t>Equity-based compensation</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10.3%</w:t>
            </w:r>
          </w:p>
        </w:tc>
        <w:tc>
          <w:tcPr>
            <w:tcW w:w="200" w:type="dxa"/>
            <w:vAlign w:val="bottom"/>
            <w:tcBorders>
              <w:bottom w:val="single" w:sz="8" w:color="CCFFCC"/>
            </w:tcBorders>
            <w:shd w:val="clear" w:color="auto" w:fill="CCFFCC"/>
          </w:tcPr>
          <w:p>
            <w:pPr>
              <w:spacing w:after="0"/>
              <w:rPr>
                <w:sz w:val="16"/>
                <w:szCs w:val="16"/>
                <w:color w:val="auto"/>
              </w:rPr>
            </w:pPr>
          </w:p>
        </w:tc>
        <w:tc>
          <w:tcPr>
            <w:tcW w:w="400" w:type="dxa"/>
            <w:vAlign w:val="bottom"/>
            <w:tcBorders>
              <w:bottom w:val="single" w:sz="8" w:color="auto"/>
            </w:tcBorders>
            <w:shd w:val="clear" w:color="auto" w:fill="CCFFCC"/>
          </w:tcPr>
          <w:p>
            <w:pPr>
              <w:spacing w:after="0"/>
              <w:rPr>
                <w:sz w:val="16"/>
                <w:szCs w:val="16"/>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10.2%</w:t>
            </w:r>
          </w:p>
        </w:tc>
        <w:tc>
          <w:tcPr>
            <w:tcW w:w="320" w:type="dxa"/>
            <w:vAlign w:val="bottom"/>
            <w:tcBorders>
              <w:bottom w:val="single" w:sz="8" w:color="CCFFCC"/>
            </w:tcBorders>
            <w:shd w:val="clear" w:color="auto" w:fill="CCFFCC"/>
          </w:tcPr>
          <w:p>
            <w:pPr>
              <w:spacing w:after="0"/>
              <w:rPr>
                <w:sz w:val="16"/>
                <w:szCs w:val="16"/>
                <w:color w:val="auto"/>
              </w:rPr>
            </w:pPr>
          </w:p>
        </w:tc>
        <w:tc>
          <w:tcPr>
            <w:tcW w:w="780" w:type="dxa"/>
            <w:vAlign w:val="bottom"/>
            <w:tcBorders>
              <w:bottom w:val="single" w:sz="8" w:color="CCFFCC"/>
            </w:tcBorders>
            <w:shd w:val="clear" w:color="auto" w:fill="CCFFCC"/>
          </w:tcPr>
          <w:p>
            <w:pPr>
              <w:spacing w:after="0"/>
              <w:rPr>
                <w:sz w:val="16"/>
                <w:szCs w:val="16"/>
                <w:color w:val="auto"/>
              </w:rPr>
            </w:pPr>
          </w:p>
        </w:tc>
        <w:tc>
          <w:tcPr>
            <w:tcW w:w="2280" w:type="dxa"/>
            <w:vAlign w:val="bottom"/>
            <w:tcBorders>
              <w:bottom w:val="single" w:sz="8" w:color="CCFFCC"/>
            </w:tcBorders>
            <w:shd w:val="clear" w:color="auto" w:fill="CCFFCC"/>
          </w:tcPr>
          <w:p>
            <w:pPr>
              <w:spacing w:after="0"/>
              <w:rPr>
                <w:sz w:val="16"/>
                <w:szCs w:val="16"/>
                <w:color w:val="auto"/>
              </w:rPr>
            </w:pPr>
          </w:p>
        </w:tc>
      </w:tr>
      <w:tr>
        <w:trPr>
          <w:trHeight w:val="223"/>
        </w:trPr>
        <w:tc>
          <w:tcPr>
            <w:tcW w:w="5060" w:type="dxa"/>
            <w:vAlign w:val="bottom"/>
            <w:tcBorders>
              <w:bottom w:val="single" w:sz="8" w:color="CCFFCC"/>
            </w:tcBorders>
            <w:gridSpan w:val="3"/>
            <w:shd w:val="clear" w:color="auto" w:fill="CCFFCC"/>
          </w:tcPr>
          <w:p>
            <w:pPr>
              <w:spacing w:after="0" w:line="163" w:lineRule="exact"/>
              <w:rPr>
                <w:sz w:val="20"/>
                <w:szCs w:val="20"/>
                <w:color w:val="auto"/>
              </w:rPr>
            </w:pPr>
            <w:r>
              <w:rPr>
                <w:rFonts w:ascii="Arial" w:cs="Arial" w:eastAsia="Arial" w:hAnsi="Arial"/>
                <w:sz w:val="14"/>
                <w:szCs w:val="14"/>
                <w:b w:val="1"/>
                <w:bCs w:val="1"/>
                <w:color w:val="auto"/>
              </w:rPr>
              <w:t>Adjusted operating margin</w:t>
            </w:r>
            <w:r>
              <w:rPr>
                <w:rFonts w:ascii="Arial" w:cs="Arial" w:eastAsia="Arial" w:hAnsi="Arial"/>
                <w:sz w:val="18"/>
                <w:szCs w:val="18"/>
                <w:b w:val="1"/>
                <w:bCs w:val="1"/>
                <w:color w:val="auto"/>
                <w:vertAlign w:val="superscript"/>
              </w:rPr>
              <w:t>(1)</w:t>
            </w:r>
          </w:p>
        </w:tc>
        <w:tc>
          <w:tcPr>
            <w:tcW w:w="112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34.9%</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35.1%</w:t>
            </w:r>
          </w:p>
        </w:tc>
        <w:tc>
          <w:tcPr>
            <w:tcW w:w="3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spacing w:after="0"/>
              <w:rPr>
                <w:sz w:val="19"/>
                <w:szCs w:val="19"/>
                <w:color w:val="auto"/>
              </w:rPr>
            </w:pPr>
          </w:p>
        </w:tc>
        <w:tc>
          <w:tcPr>
            <w:tcW w:w="2280" w:type="dxa"/>
            <w:vAlign w:val="bottom"/>
            <w:tcBorders>
              <w:bottom w:val="single" w:sz="8" w:color="CCFFCC"/>
            </w:tcBorders>
            <w:shd w:val="clear" w:color="auto" w:fill="CCFFCC"/>
          </w:tcPr>
          <w:p>
            <w:pPr>
              <w:spacing w:after="0"/>
              <w:rPr>
                <w:sz w:val="19"/>
                <w:szCs w:val="19"/>
                <w:color w:val="auto"/>
              </w:rPr>
            </w:pPr>
          </w:p>
        </w:tc>
      </w:tr>
      <w:tr>
        <w:trPr>
          <w:trHeight w:val="338"/>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Diluted earnings per share (EPS):</w:t>
            </w: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GAAP EPS</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$3.55</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$3.63</w:t>
            </w:r>
          </w:p>
        </w:tc>
        <w:tc>
          <w:tcPr>
            <w:tcW w:w="1100" w:type="dxa"/>
            <w:vAlign w:val="bottom"/>
            <w:gridSpan w:val="2"/>
            <w:shd w:val="clear" w:color="auto" w:fill="CCFFCC"/>
          </w:tcPr>
          <w:p>
            <w:pPr>
              <w:jc w:val="center"/>
              <w:ind w:left="579"/>
              <w:spacing w:after="0"/>
              <w:rPr>
                <w:sz w:val="20"/>
                <w:szCs w:val="20"/>
                <w:color w:val="auto"/>
              </w:rPr>
            </w:pPr>
            <w:r>
              <w:rPr>
                <w:rFonts w:ascii="Arial" w:cs="Arial" w:eastAsia="Arial" w:hAnsi="Arial"/>
                <w:sz w:val="16"/>
                <w:szCs w:val="16"/>
                <w:b w:val="1"/>
                <w:bCs w:val="1"/>
                <w:color w:val="auto"/>
                <w:w w:val="98"/>
              </w:rPr>
              <w:t>-1%</w:t>
            </w:r>
          </w:p>
        </w:tc>
        <w:tc>
          <w:tcPr>
            <w:tcW w:w="2280" w:type="dxa"/>
            <w:vAlign w:val="bottom"/>
            <w:shd w:val="clear" w:color="auto" w:fill="CCFFCC"/>
          </w:tcPr>
          <w:p>
            <w:pPr>
              <w:jc w:val="right"/>
              <w:ind w:right="679"/>
              <w:spacing w:after="0"/>
              <w:rPr>
                <w:sz w:val="20"/>
                <w:szCs w:val="20"/>
                <w:color w:val="auto"/>
              </w:rPr>
            </w:pPr>
            <w:r>
              <w:rPr>
                <w:rFonts w:ascii="Arial" w:cs="Arial" w:eastAsia="Arial" w:hAnsi="Arial"/>
                <w:sz w:val="16"/>
                <w:szCs w:val="16"/>
                <w:b w:val="1"/>
                <w:bCs w:val="1"/>
                <w:color w:val="auto"/>
              </w:rPr>
              <w:t>1%</w:t>
            </w:r>
          </w:p>
        </w:tc>
      </w:tr>
      <w:tr>
        <w:trPr>
          <w:trHeight w:val="162"/>
        </w:trPr>
        <w:tc>
          <w:tcPr>
            <w:tcW w:w="5060" w:type="dxa"/>
            <w:vAlign w:val="bottom"/>
            <w:gridSpan w:val="3"/>
            <w:shd w:val="clear" w:color="auto" w:fill="CCFFCC"/>
          </w:tcPr>
          <w:p>
            <w:pPr>
              <w:ind w:left="60"/>
              <w:spacing w:after="0" w:line="162" w:lineRule="exact"/>
              <w:rPr>
                <w:sz w:val="20"/>
                <w:szCs w:val="20"/>
                <w:color w:val="auto"/>
              </w:rPr>
            </w:pPr>
            <w:r>
              <w:rPr>
                <w:rFonts w:ascii="Arial" w:cs="Arial" w:eastAsia="Arial" w:hAnsi="Arial"/>
                <w:sz w:val="16"/>
                <w:szCs w:val="16"/>
                <w:b w:val="1"/>
                <w:bCs w:val="1"/>
                <w:color w:val="auto"/>
              </w:rPr>
              <w:t>Equity-based compensation</w:t>
            </w:r>
          </w:p>
        </w:tc>
        <w:tc>
          <w:tcPr>
            <w:tcW w:w="1120" w:type="dxa"/>
            <w:vAlign w:val="bottom"/>
            <w:shd w:val="clear" w:color="auto" w:fill="CCFFCC"/>
          </w:tcPr>
          <w:p>
            <w:pPr>
              <w:jc w:val="right"/>
              <w:spacing w:after="0" w:line="162" w:lineRule="exact"/>
              <w:rPr>
                <w:sz w:val="20"/>
                <w:szCs w:val="20"/>
                <w:color w:val="auto"/>
              </w:rPr>
            </w:pPr>
            <w:r>
              <w:rPr>
                <w:rFonts w:ascii="Arial" w:cs="Arial" w:eastAsia="Arial" w:hAnsi="Arial"/>
                <w:sz w:val="16"/>
                <w:szCs w:val="16"/>
                <w:b w:val="1"/>
                <w:bCs w:val="1"/>
                <w:color w:val="auto"/>
              </w:rPr>
              <w:t>1.70</w:t>
            </w:r>
          </w:p>
        </w:tc>
        <w:tc>
          <w:tcPr>
            <w:tcW w:w="20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line="162" w:lineRule="exact"/>
              <w:rPr>
                <w:sz w:val="20"/>
                <w:szCs w:val="20"/>
                <w:color w:val="auto"/>
              </w:rPr>
            </w:pPr>
            <w:r>
              <w:rPr>
                <w:rFonts w:ascii="Arial" w:cs="Arial" w:eastAsia="Arial" w:hAnsi="Arial"/>
                <w:sz w:val="16"/>
                <w:szCs w:val="16"/>
                <w:b w:val="1"/>
                <w:bCs w:val="1"/>
                <w:color w:val="auto"/>
              </w:rPr>
              <w:t>1.70</w:t>
            </w:r>
          </w:p>
        </w:tc>
        <w:tc>
          <w:tcPr>
            <w:tcW w:w="3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280" w:type="dxa"/>
            <w:vAlign w:val="bottom"/>
            <w:shd w:val="clear" w:color="auto" w:fill="CCFFCC"/>
          </w:tcPr>
          <w:p>
            <w:pPr>
              <w:spacing w:after="0"/>
              <w:rPr>
                <w:sz w:val="14"/>
                <w:szCs w:val="14"/>
                <w:color w:val="auto"/>
              </w:rPr>
            </w:pPr>
          </w:p>
        </w:tc>
      </w:tr>
      <w:tr>
        <w:trPr>
          <w:trHeight w:val="216"/>
        </w:trPr>
        <w:tc>
          <w:tcPr>
            <w:tcW w:w="5060" w:type="dxa"/>
            <w:vAlign w:val="bottom"/>
            <w:tcBorders>
              <w:bottom w:val="single" w:sz="8" w:color="CCFFCC"/>
            </w:tcBorders>
            <w:gridSpan w:val="3"/>
            <w:shd w:val="clear" w:color="auto" w:fill="CCFFCC"/>
          </w:tcPr>
          <w:p>
            <w:pPr>
              <w:ind w:left="60"/>
              <w:spacing w:after="0" w:line="216" w:lineRule="exact"/>
              <w:rPr>
                <w:sz w:val="20"/>
                <w:szCs w:val="20"/>
                <w:color w:val="auto"/>
              </w:rPr>
            </w:pPr>
            <w:r>
              <w:rPr>
                <w:rFonts w:ascii="Arial" w:cs="Arial" w:eastAsia="Arial" w:hAnsi="Arial"/>
                <w:sz w:val="16"/>
                <w:szCs w:val="16"/>
                <w:b w:val="1"/>
                <w:bCs w:val="1"/>
                <w:color w:val="auto"/>
              </w:rPr>
              <w:t xml:space="preserve">Tax deficiency of stock awards vested </w:t>
            </w:r>
            <w:r>
              <w:rPr>
                <w:rFonts w:ascii="Arial" w:cs="Arial" w:eastAsia="Arial" w:hAnsi="Arial"/>
                <w:sz w:val="21"/>
                <w:szCs w:val="21"/>
                <w:b w:val="1"/>
                <w:bCs w:val="1"/>
                <w:color w:val="auto"/>
                <w:vertAlign w:val="superscript"/>
              </w:rPr>
              <w:t>(2)</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0.04</w:t>
            </w:r>
          </w:p>
        </w:tc>
        <w:tc>
          <w:tcPr>
            <w:tcW w:w="20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0.04</w:t>
            </w:r>
          </w:p>
        </w:tc>
        <w:tc>
          <w:tcPr>
            <w:tcW w:w="3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2280" w:type="dxa"/>
            <w:vAlign w:val="bottom"/>
            <w:tcBorders>
              <w:bottom w:val="single" w:sz="8" w:color="CCFFCC"/>
            </w:tcBorders>
            <w:shd w:val="clear" w:color="auto" w:fill="CCFFCC"/>
          </w:tcPr>
          <w:p>
            <w:pPr>
              <w:spacing w:after="0"/>
              <w:rPr>
                <w:sz w:val="18"/>
                <w:szCs w:val="18"/>
                <w:color w:val="auto"/>
              </w:rPr>
            </w:pPr>
          </w:p>
        </w:tc>
      </w:tr>
      <w:tr>
        <w:trPr>
          <w:trHeight w:val="223"/>
        </w:trPr>
        <w:tc>
          <w:tcPr>
            <w:tcW w:w="5060" w:type="dxa"/>
            <w:vAlign w:val="bottom"/>
            <w:tcBorders>
              <w:bottom w:val="single" w:sz="8" w:color="CCFFCC"/>
            </w:tcBorders>
            <w:gridSpan w:val="3"/>
            <w:shd w:val="clear" w:color="auto" w:fill="CCFFCC"/>
          </w:tcPr>
          <w:p>
            <w:pPr>
              <w:spacing w:after="0" w:line="163" w:lineRule="exact"/>
              <w:rPr>
                <w:sz w:val="20"/>
                <w:szCs w:val="20"/>
                <w:color w:val="auto"/>
              </w:rPr>
            </w:pPr>
            <w:r>
              <w:rPr>
                <w:rFonts w:ascii="Arial" w:cs="Arial" w:eastAsia="Arial" w:hAnsi="Arial"/>
                <w:sz w:val="14"/>
                <w:szCs w:val="14"/>
                <w:b w:val="1"/>
                <w:bCs w:val="1"/>
                <w:color w:val="auto"/>
              </w:rPr>
              <w:t>Adjusted EPS</w:t>
            </w:r>
            <w:r>
              <w:rPr>
                <w:rFonts w:ascii="Arial" w:cs="Arial" w:eastAsia="Arial" w:hAnsi="Arial"/>
                <w:sz w:val="18"/>
                <w:szCs w:val="18"/>
                <w:b w:val="1"/>
                <w:bCs w:val="1"/>
                <w:color w:val="auto"/>
                <w:vertAlign w:val="superscript"/>
              </w:rPr>
              <w:t>(1)</w:t>
            </w:r>
          </w:p>
        </w:tc>
        <w:tc>
          <w:tcPr>
            <w:tcW w:w="112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$5.29</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$5.37</w:t>
            </w:r>
          </w:p>
        </w:tc>
        <w:tc>
          <w:tcPr>
            <w:tcW w:w="3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jc w:val="center"/>
              <w:ind w:left="259"/>
              <w:spacing w:after="0" w:line="169" w:lineRule="exact"/>
              <w:rPr>
                <w:sz w:val="20"/>
                <w:szCs w:val="20"/>
                <w:color w:val="auto"/>
              </w:rPr>
            </w:pPr>
            <w:r>
              <w:rPr>
                <w:rFonts w:ascii="Arial" w:cs="Arial" w:eastAsia="Arial" w:hAnsi="Arial"/>
                <w:sz w:val="16"/>
                <w:szCs w:val="16"/>
                <w:b w:val="1"/>
                <w:bCs w:val="1"/>
                <w:color w:val="auto"/>
              </w:rPr>
              <w:t>5%</w:t>
            </w:r>
          </w:p>
        </w:tc>
        <w:tc>
          <w:tcPr>
            <w:tcW w:w="2280" w:type="dxa"/>
            <w:vAlign w:val="bottom"/>
            <w:tcBorders>
              <w:bottom w:val="single" w:sz="8" w:color="CCFFCC"/>
            </w:tcBorders>
            <w:shd w:val="clear" w:color="auto" w:fill="CCFFCC"/>
          </w:tcPr>
          <w:p>
            <w:pPr>
              <w:jc w:val="right"/>
              <w:ind w:right="679"/>
              <w:spacing w:after="0" w:line="169" w:lineRule="exact"/>
              <w:rPr>
                <w:sz w:val="20"/>
                <w:szCs w:val="20"/>
                <w:color w:val="auto"/>
              </w:rPr>
            </w:pPr>
            <w:r>
              <w:rPr>
                <w:rFonts w:ascii="Arial" w:cs="Arial" w:eastAsia="Arial" w:hAnsi="Arial"/>
                <w:sz w:val="16"/>
                <w:szCs w:val="16"/>
                <w:b w:val="1"/>
                <w:bCs w:val="1"/>
                <w:color w:val="auto"/>
              </w:rPr>
              <w:t>6%</w:t>
            </w:r>
          </w:p>
        </w:tc>
      </w:tr>
    </w:tbl>
    <w:p>
      <w:pPr>
        <w:spacing w:after="0" w:line="180" w:lineRule="exact"/>
        <w:rPr>
          <w:sz w:val="20"/>
          <w:szCs w:val="20"/>
          <w:color w:val="auto"/>
        </w:rPr>
      </w:pPr>
    </w:p>
    <w:p>
      <w:pPr>
        <w:ind w:left="340" w:right="2680" w:hanging="116"/>
        <w:spacing w:after="0" w:line="263" w:lineRule="auto"/>
        <w:tabs>
          <w:tab w:leader="none" w:pos="364"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Adjusted operating margin and adjusted EPS are non-GAAP measures that exclude the impact of equity-based compensation, expense related to an unusual health insurance claim, restructuring expense, and the related income tax effects, if applicable.</w:t>
      </w:r>
    </w:p>
    <w:p>
      <w:pPr>
        <w:spacing w:after="0" w:line="1" w:lineRule="exact"/>
        <w:rPr>
          <w:rFonts w:ascii="Arial" w:cs="Arial" w:eastAsia="Arial" w:hAnsi="Arial"/>
          <w:sz w:val="17"/>
          <w:szCs w:val="17"/>
          <w:color w:val="auto"/>
          <w:vertAlign w:val="superscript"/>
        </w:rPr>
      </w:pPr>
    </w:p>
    <w:p>
      <w:pPr>
        <w:ind w:left="360" w:hanging="136"/>
        <w:spacing w:after="0"/>
        <w:tabs>
          <w:tab w:leader="none" w:pos="36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The Company expects the tax deficiency on stock vesting to occur primarily in the first quarter of 2026.</w:t>
      </w:r>
    </w:p>
    <w:p>
      <w:pPr>
        <w:spacing w:after="0" w:line="200" w:lineRule="exact"/>
        <w:rPr>
          <w:sz w:val="20"/>
          <w:szCs w:val="20"/>
          <w:color w:val="auto"/>
        </w:rPr>
      </w:pPr>
    </w:p>
    <w:p>
      <w:pPr>
        <w:spacing w:after="0" w:line="210" w:lineRule="exact"/>
        <w:rPr>
          <w:sz w:val="20"/>
          <w:szCs w:val="20"/>
          <w:color w:val="auto"/>
        </w:rPr>
      </w:pPr>
    </w:p>
    <w:p>
      <w:pPr>
        <w:jc w:val="both"/>
        <w:ind w:left="760" w:right="960"/>
        <w:spacing w:after="0" w:line="260" w:lineRule="auto"/>
        <w:rPr>
          <w:sz w:val="20"/>
          <w:szCs w:val="20"/>
          <w:color w:val="auto"/>
        </w:rPr>
      </w:pPr>
      <w:r>
        <w:rPr>
          <w:rFonts w:ascii="Arial" w:cs="Arial" w:eastAsia="Arial" w:hAnsi="Arial"/>
          <w:sz w:val="19"/>
          <w:szCs w:val="19"/>
          <w:color w:val="auto"/>
        </w:rPr>
        <w:t>Manhattan Associates currently intends to make public certain expectations with respect to future financial performance. Those statements, including the guidance provided above, are forward looking. Actual results may differ materially. See our cautionary note regarding “forward-looking statements” below.</w:t>
      </w:r>
    </w:p>
    <w:p>
      <w:pPr>
        <w:spacing w:after="0" w:line="154" w:lineRule="exact"/>
        <w:rPr>
          <w:sz w:val="20"/>
          <w:szCs w:val="20"/>
          <w:color w:val="auto"/>
        </w:rPr>
      </w:pPr>
    </w:p>
    <w:p>
      <w:pPr>
        <w:ind w:left="760" w:right="620"/>
        <w:spacing w:after="0" w:line="234" w:lineRule="auto"/>
        <w:rPr>
          <w:sz w:val="20"/>
          <w:szCs w:val="20"/>
          <w:color w:val="auto"/>
        </w:rPr>
      </w:pPr>
      <w:r>
        <w:rPr>
          <w:rFonts w:ascii="Arial" w:cs="Arial" w:eastAsia="Arial" w:hAnsi="Arial"/>
          <w:sz w:val="20"/>
          <w:szCs w:val="20"/>
          <w:color w:val="auto"/>
        </w:rPr>
        <w:t>Manhattan Associates will make this earnings release and a recording of the conference call referenced below available on the investor relations section of the Manhattan Associates website at ir.manh.com. Following publication of this earnings release, any expectations with respect to future financial performance contained in this release or the conference call, including the guidance, should be considered historical only, and Manhattan Associates disclaims any obligation to update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1235075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124460</wp:posOffset>
            </wp:positionV>
            <wp:extent cx="617220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11080"/>
          </w:cols>
          <w:pgMar w:left="320" w:top="1425" w:right="4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CONFERENCE CALL</w:t>
      </w:r>
    </w:p>
    <w:p>
      <w:pPr>
        <w:spacing w:after="0" w:line="20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Manhattan Associates’ conference call regarding its first quarter financial results will be held today, April 21, 2026, at 4:30 p.m. Eastern Time. The Company will also discuss its business and expectations for the year and next quarter in additional detail during the call. We invite investors to a live webcast of the conference call through the Investor Relations section of the Manhattan Associates website at ir.manh.com. To listen to the live webcast, please go to the website at least 15 minutes before the call to download and install any necessary audio software. The Internet webcast will be available until Manhattan Associates’ second quarter 2026 earnings release.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 VERSUS NON-GAAP PRESENTATION</w:t>
      </w:r>
    </w:p>
    <w:p>
      <w:pPr>
        <w:spacing w:after="0" w:line="204"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Manhattan Associates provides adjusted operating income and margin, adjusted income tax provision, adjusted net income, and adjusted diluted earnings per share in this press release as additional information regarding the Company’s historical and projected operating results. These measures are not in accordance with, or alternatives to, GAAP, and may be different from similarly titled non-GAAP measures used by other companies. The Company believes the presentation of these non-GAAP financial measures facilitates investors’ ability to understand and compare the Company’s results and guidance, because the measures provide supplemental information in evaluating the operating results of its business, as distinct from results that include items not indicative of ongoing operating results, and because the Company believes its peers typically publish similar non-GAAP measures. This release should be read in conjunction with the Company’s Form 8-K earnings release filing for the three months ended March 31, 2026.</w:t>
      </w:r>
    </w:p>
    <w:p>
      <w:pPr>
        <w:spacing w:after="0" w:line="172"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Non-GAAP adjusted operating income and margin, adjusted income tax provision, adjusted net income, and adjusted diluted earnings per share exclude the impact of equity-based compensation, an expense – net of insurance recoveries, related to an unusual health insurance claim, and restructuring expense – net of income tax effects, collectively. They also exclude the tax benefits or deficiencies of vested stock awards caused by differences in the amount deductible for tax purposes from the compensation expense recorded for financial reporting purposes. We include reconciliations of the Company’s GAAP financial measures to non-GAAP adjustments in the supplemental information attached to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1233170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122555</wp:posOffset>
            </wp:positionV>
            <wp:extent cx="6172200"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720"/>
          </w:cols>
          <w:pgMar w:left="1080" w:top="1209" w:right="109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MANHATTAN ASSOCIATES</w:t>
      </w:r>
    </w:p>
    <w:p>
      <w:pPr>
        <w:spacing w:after="0" w:line="204"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Manhattan Associates is a global technology leader, providing supply chain and omnichannel commerce solutions with unmatched AI capabilities. We design, build and offer best-in-class, AI-powered, cloud-based solutions that drive resilience and efficiency for businesses. We enable enterprises to uniquely unify front-end sales with back-end supply chain execution.</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Our commitment to innovation, cloud-native platform and API-first architecture create simpler experiences and faster paths to value for our customers. We empower them to preempt and react to emerging trends and global disruptions with technical expertise and operational confidence, transforming challenges into competitive advantage. For more information, please visit www.manh.com.</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This press release contains “forward-looking statements” relating to Manhattan Associates, Inc. Forward-looking statements in this press release include, without limitation, the information set forth under “2026 Guidance” and statements identified by words such as “may,” “expect,” “forecast,” “anticipate,” “intend,” “plan,” “believe,” “could,” “seek,” “project,” “estimate,” and similar expressions. Prospective investors are cautioned that any of those forward-looking statements are not guarantees of future performance and involve risks and uncertainties, and that actual results may differ materially from those contemplated by those forward-looking statements. Among the important factors that could cause actual results to differ materially from those indicated by those forward-looking statements are: economic conditions, including as a result of global instability due to military conflict, including the military conflict involving the United States, Israel, and Iran, as well as the ongoing war between Russia and Ukraine, disruption and transformation in the retail sector and our vertical markets; delays in product development; competitive and pricing pressures; software errors and information technology failures, disruption and security breaches; risks related to our products’ technology and customer implementations; risks associated with our use of generative and agentic artificial intelligence; and the other risk factors set forth in Item 1A of the Company’s Annual Report on Form 10-K for the year ended December 31, 2025, and in Item 1A of Part II in subsequent Quarterly Reports on Form 10-Q. Manhattan Associates undertakes no obligation to update or revise forward-looking statements to reflect changed assumptions, the occurrence of unanticipated events or changes in future operating results.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1407795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297180</wp:posOffset>
            </wp:positionV>
            <wp:extent cx="6172200" cy="643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740"/>
          </w:cols>
          <w:pgMar w:left="1080" w:top="1209" w:right="10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4040" w:type="dxa"/>
            <w:vAlign w:val="bottom"/>
            <w:tcBorders>
              <w:bottom w:val="single" w:sz="8" w:color="auto"/>
            </w:tcBorders>
            <w:gridSpan w:val="4"/>
          </w:tcPr>
          <w:p>
            <w:pPr>
              <w:ind w:left="1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42"/>
        </w:trPr>
        <w:tc>
          <w:tcPr>
            <w:tcW w:w="6520" w:type="dxa"/>
            <w:vAlign w:val="bottom"/>
          </w:tcPr>
          <w:p>
            <w:pPr>
              <w:spacing w:after="0"/>
              <w:rPr>
                <w:sz w:val="12"/>
                <w:szCs w:val="12"/>
                <w:color w:val="auto"/>
              </w:rPr>
            </w:pPr>
          </w:p>
        </w:tc>
        <w:tc>
          <w:tcPr>
            <w:tcW w:w="156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80" w:type="dxa"/>
            <w:vAlign w:val="bottom"/>
            <w:gridSpan w:val="3"/>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2"/>
                <w:szCs w:val="12"/>
                <w:color w:val="auto"/>
              </w:rPr>
            </w:pPr>
          </w:p>
        </w:tc>
      </w:tr>
      <w:tr>
        <w:trPr>
          <w:trHeight w:val="142"/>
        </w:trPr>
        <w:tc>
          <w:tcPr>
            <w:tcW w:w="6520" w:type="dxa"/>
            <w:vAlign w:val="bottom"/>
          </w:tcPr>
          <w:p>
            <w:pPr>
              <w:spacing w:after="0"/>
              <w:rPr>
                <w:sz w:val="12"/>
                <w:szCs w:val="12"/>
                <w:color w:val="auto"/>
              </w:rPr>
            </w:pPr>
          </w:p>
        </w:tc>
        <w:tc>
          <w:tcPr>
            <w:tcW w:w="1560" w:type="dxa"/>
            <w:vAlign w:val="bottom"/>
            <w:tcBorders>
              <w:top w:val="single" w:sz="8" w:color="auto"/>
            </w:tcBorders>
          </w:tcPr>
          <w:p>
            <w:pPr>
              <w:jc w:val="center"/>
              <w:ind w:left="64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top w:val="single" w:sz="8" w:color="auto"/>
            </w:tcBorders>
          </w:tcPr>
          <w:p>
            <w:pPr>
              <w:jc w:val="center"/>
              <w:ind w:left="60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Borders>
              <w:top w:val="single" w:sz="8" w:color="auto"/>
            </w:tcBorders>
          </w:tcPr>
          <w:p>
            <w:pPr>
              <w:spacing w:after="0"/>
              <w:rPr>
                <w:sz w:val="12"/>
                <w:szCs w:val="12"/>
                <w:color w:val="auto"/>
              </w:rPr>
            </w:pPr>
          </w:p>
        </w:tc>
      </w:tr>
      <w:tr>
        <w:trPr>
          <w:trHeight w:val="216"/>
        </w:trPr>
        <w:tc>
          <w:tcPr>
            <w:tcW w:w="80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r>
      <w:tr>
        <w:trPr>
          <w:trHeight w:val="216"/>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Cloud subscriptions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$117,123</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$94,306</w:t>
            </w:r>
          </w:p>
        </w:tc>
      </w:tr>
      <w:tr>
        <w:trPr>
          <w:trHeight w:val="216"/>
        </w:trPr>
        <w:tc>
          <w:tcPr>
            <w:tcW w:w="80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Software license</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9,292</w:t>
            </w:r>
          </w:p>
        </w:tc>
      </w:tr>
      <w:tr>
        <w:trPr>
          <w:trHeight w:val="216"/>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30,592</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32,144</w:t>
            </w:r>
          </w:p>
        </w:tc>
      </w:tr>
      <w:tr>
        <w:trPr>
          <w:trHeight w:val="216"/>
        </w:trPr>
        <w:tc>
          <w:tcPr>
            <w:tcW w:w="80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125,717</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121,127</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Hardware</w:t>
            </w:r>
          </w:p>
        </w:tc>
        <w:tc>
          <w:tcPr>
            <w:tcW w:w="1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6,549</w:t>
            </w:r>
          </w:p>
        </w:tc>
        <w:tc>
          <w:tcPr>
            <w:tcW w:w="2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09"/>
        </w:trPr>
        <w:tc>
          <w:tcPr>
            <w:tcW w:w="80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282,215</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262,787</w:t>
            </w: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80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126,077</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114,358</w:t>
            </w:r>
          </w:p>
        </w:tc>
      </w:tr>
      <w:tr>
        <w:trPr>
          <w:trHeight w:val="216"/>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software license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0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37,346</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35,298</w:t>
            </w:r>
          </w:p>
        </w:tc>
      </w:tr>
      <w:tr>
        <w:trPr>
          <w:trHeight w:val="216"/>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27,752</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21,061</w:t>
            </w:r>
          </w:p>
        </w:tc>
      </w:tr>
      <w:tr>
        <w:trPr>
          <w:trHeight w:val="216"/>
        </w:trPr>
        <w:tc>
          <w:tcPr>
            <w:tcW w:w="80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23,706</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24,219</w:t>
            </w:r>
          </w:p>
        </w:tc>
      </w:tr>
      <w:tr>
        <w:trPr>
          <w:trHeight w:val="216"/>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1,833</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16"/>
        </w:trPr>
        <w:tc>
          <w:tcPr>
            <w:tcW w:w="6520" w:type="dxa"/>
            <w:vAlign w:val="bottom"/>
            <w:tcBorders>
              <w:bottom w:val="single" w:sz="8" w:color="CCFFCC"/>
            </w:tcBorders>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156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520" w:type="dxa"/>
            <w:vAlign w:val="bottom"/>
            <w:tcBorders>
              <w:bottom w:val="single" w:sz="8" w:color="auto"/>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2,929</w:t>
            </w:r>
          </w:p>
        </w:tc>
      </w:tr>
      <w:tr>
        <w:trPr>
          <w:trHeight w:val="20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217,278</w:t>
            </w:r>
          </w:p>
        </w:tc>
        <w:tc>
          <w:tcPr>
            <w:tcW w:w="2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199,615</w:t>
            </w:r>
          </w:p>
        </w:tc>
      </w:tr>
      <w:tr>
        <w:trPr>
          <w:trHeight w:val="210"/>
        </w:trPr>
        <w:tc>
          <w:tcPr>
            <w:tcW w:w="80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64,937</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63,172</w:t>
            </w: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4,337</w:t>
            </w:r>
          </w:p>
        </w:tc>
        <w:tc>
          <w:tcPr>
            <w:tcW w:w="2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09"/>
        </w:trPr>
        <w:tc>
          <w:tcPr>
            <w:tcW w:w="80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69,274</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64,509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w:t>
            </w:r>
          </w:p>
        </w:tc>
        <w:tc>
          <w:tcPr>
            <w:tcW w:w="2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w:t>
            </w:r>
          </w:p>
        </w:tc>
      </w:tr>
      <w:tr>
        <w:trPr>
          <w:trHeight w:val="249"/>
        </w:trPr>
        <w:tc>
          <w:tcPr>
            <w:tcW w:w="65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tcBorders>
              <w:bottom w:val="single" w:sz="8" w:color="auto"/>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$49,295</w:t>
            </w:r>
          </w:p>
        </w:tc>
        <w:tc>
          <w:tcPr>
            <w:tcW w:w="22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$52,582</w:t>
            </w:r>
          </w:p>
        </w:tc>
      </w:tr>
      <w:tr>
        <w:trPr>
          <w:trHeight w:val="41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16"/>
        </w:trPr>
        <w:tc>
          <w:tcPr>
            <w:tcW w:w="80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432"/>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808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59,688</w:t>
            </w:r>
          </w:p>
        </w:tc>
        <w:tc>
          <w:tcPr>
            <w:tcW w:w="22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60,870</w:t>
            </w:r>
          </w:p>
        </w:tc>
      </w:tr>
      <w:tr>
        <w:trPr>
          <w:trHeight w:val="238"/>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60,038</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61,527</w:t>
            </w:r>
          </w:p>
        </w:tc>
      </w:tr>
      <w:tr>
        <w:trPr>
          <w:trHeight w:val="1443"/>
        </w:trPr>
        <w:tc>
          <w:tcPr>
            <w:tcW w:w="65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-2785110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-1928495</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-1910715</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GAAP to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140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2"/>
          </w:tcPr>
          <w:p>
            <w:pPr>
              <w:jc w:val="right"/>
              <w:ind w:right="870"/>
              <w:spacing w:after="0" w:line="142" w:lineRule="exact"/>
              <w:rPr>
                <w:sz w:val="20"/>
                <w:szCs w:val="20"/>
                <w:color w:val="auto"/>
              </w:rPr>
            </w:pPr>
            <w:r>
              <w:rPr>
                <w:rFonts w:ascii="Times New Roman" w:cs="Times New Roman" w:eastAsia="Times New Roman" w:hAnsi="Times New Roman"/>
                <w:sz w:val="14"/>
                <w:szCs w:val="14"/>
                <w:color w:val="auto"/>
              </w:rPr>
              <w:t>2025</w:t>
            </w:r>
          </w:p>
        </w:tc>
      </w:tr>
      <w:tr>
        <w:trPr>
          <w:trHeight w:val="142"/>
        </w:trPr>
        <w:tc>
          <w:tcPr>
            <w:tcW w:w="66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r>
      <w:tr>
        <w:trPr>
          <w:trHeight w:val="216"/>
        </w:trPr>
        <w:tc>
          <w:tcPr>
            <w:tcW w:w="80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$64,937</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$63,172</w:t>
            </w:r>
          </w:p>
        </w:tc>
      </w:tr>
      <w:tr>
        <w:trPr>
          <w:trHeight w:val="216"/>
        </w:trPr>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26,524</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28,826</w:t>
            </w:r>
          </w:p>
        </w:tc>
      </w:tr>
      <w:tr>
        <w:trPr>
          <w:trHeight w:val="216"/>
        </w:trPr>
        <w:tc>
          <w:tcPr>
            <w:tcW w:w="804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expense (d)</w:t>
            </w: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r>
      <w:tr>
        <w:trPr>
          <w:trHeight w:val="249"/>
        </w:trPr>
        <w:tc>
          <w:tcPr>
            <w:tcW w:w="80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$91,461</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$91,269</w:t>
            </w:r>
          </w:p>
        </w:tc>
      </w:tr>
      <w:tr>
        <w:trPr>
          <w:trHeight w:val="197"/>
        </w:trPr>
        <w:tc>
          <w:tcPr>
            <w:tcW w:w="6640" w:type="dxa"/>
            <w:vAlign w:val="bottom"/>
            <w:tcBorders>
              <w:top w:val="single" w:sz="8" w:color="CCFFCC"/>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r>
      <w:tr>
        <w:trPr>
          <w:trHeight w:val="216"/>
        </w:trPr>
        <w:tc>
          <w:tcPr>
            <w:tcW w:w="80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$19,979</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$11,927</w:t>
            </w:r>
          </w:p>
        </w:tc>
      </w:tr>
      <w:tr>
        <w:trPr>
          <w:trHeight w:val="216"/>
        </w:trPr>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4,340</w:t>
            </w:r>
          </w:p>
        </w:tc>
      </w:tr>
      <w:tr>
        <w:trPr>
          <w:trHeight w:val="216"/>
        </w:trPr>
        <w:tc>
          <w:tcPr>
            <w:tcW w:w="804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Tax (deficiency) benefit of stock awards vested (b)</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(2,177)</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16"/>
        </w:trPr>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66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Restructuring expense (d)</w:t>
            </w:r>
          </w:p>
        </w:tc>
        <w:tc>
          <w:tcPr>
            <w:tcW w:w="140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FFCC"/>
          </w:tcPr>
          <w:p>
            <w:pPr>
              <w:spacing w:after="0"/>
              <w:rPr>
                <w:sz w:val="18"/>
                <w:szCs w:val="18"/>
                <w:color w:val="auto"/>
              </w:rPr>
            </w:pPr>
          </w:p>
        </w:tc>
        <w:tc>
          <w:tcPr>
            <w:tcW w:w="2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09"/>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income tax provision (Non-GAAP)</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$21,500</w:t>
            </w:r>
          </w:p>
        </w:tc>
        <w:tc>
          <w:tcPr>
            <w:tcW w:w="2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$19,633</w:t>
            </w:r>
          </w:p>
        </w:tc>
      </w:tr>
      <w:tr>
        <w:trPr>
          <w:trHeight w:val="20"/>
        </w:trPr>
        <w:tc>
          <w:tcPr>
            <w:tcW w:w="66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6"/>
        </w:trPr>
        <w:tc>
          <w:tcPr>
            <w:tcW w:w="80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$49,295</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$52,582</w:t>
            </w:r>
          </w:p>
        </w:tc>
      </w:tr>
      <w:tr>
        <w:trPr>
          <w:trHeight w:val="216"/>
        </w:trPr>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22,826</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24,486</w:t>
            </w:r>
          </w:p>
        </w:tc>
      </w:tr>
      <w:tr>
        <w:trPr>
          <w:trHeight w:val="216"/>
        </w:trPr>
        <w:tc>
          <w:tcPr>
            <w:tcW w:w="804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Tax deficiency (benefit) of stock awards vested (b)</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2,177</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16"/>
        </w:trPr>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16"/>
        </w:trPr>
        <w:tc>
          <w:tcPr>
            <w:tcW w:w="66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Restructuring expense (d)</w:t>
            </w:r>
          </w:p>
        </w:tc>
        <w:tc>
          <w:tcPr>
            <w:tcW w:w="140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FFCC"/>
          </w:tcPr>
          <w:p>
            <w:pPr>
              <w:spacing w:after="0"/>
              <w:rPr>
                <w:sz w:val="18"/>
                <w:szCs w:val="18"/>
                <w:color w:val="auto"/>
              </w:rPr>
            </w:pPr>
          </w:p>
        </w:tc>
        <w:tc>
          <w:tcPr>
            <w:tcW w:w="2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09"/>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$74,298</w:t>
            </w:r>
          </w:p>
        </w:tc>
        <w:tc>
          <w:tcPr>
            <w:tcW w:w="2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$72,973</w:t>
            </w:r>
          </w:p>
        </w:tc>
      </w:tr>
      <w:tr>
        <w:trPr>
          <w:trHeight w:val="20"/>
        </w:trPr>
        <w:tc>
          <w:tcPr>
            <w:tcW w:w="66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6"/>
        </w:trPr>
        <w:tc>
          <w:tcPr>
            <w:tcW w:w="80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804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Tax deficiency (benefit) of stock awards vested (b)</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66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Restructuring expense (d)</w:t>
            </w:r>
          </w:p>
        </w:tc>
        <w:tc>
          <w:tcPr>
            <w:tcW w:w="140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FFCC"/>
          </w:tcPr>
          <w:p>
            <w:pPr>
              <w:spacing w:after="0"/>
              <w:rPr>
                <w:sz w:val="18"/>
                <w:szCs w:val="18"/>
                <w:color w:val="auto"/>
              </w:rPr>
            </w:pPr>
          </w:p>
        </w:tc>
        <w:tc>
          <w:tcPr>
            <w:tcW w:w="2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diluted EPS (Non-GAAP)</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66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6"/>
        </w:trPr>
        <w:tc>
          <w:tcPr>
            <w:tcW w:w="80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Fully diluted shares</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60,038</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61,527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-3282315</wp:posOffset>
            </wp:positionV>
            <wp:extent cx="1460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-3265170</wp:posOffset>
            </wp:positionV>
            <wp:extent cx="1460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jc w:val="both"/>
        <w:ind w:left="380" w:right="40" w:hanging="372"/>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results exclude all equity-based compensation, as detailed below, to facilitate comparison with our peers and for the other reasons explained in our Current Report on Form 8-K filed with the SEC. We do not receive a GAAP tax benefit for a portion of our equity-based compensation, mainly because of Section 162(m) of the Internal Revenue Code, which limits tax deductions for compensation granted to certain executives.</w:t>
      </w:r>
    </w:p>
    <w:p>
      <w:pPr>
        <w:spacing w:after="0" w:line="6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140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2"/>
          </w:tcPr>
          <w:p>
            <w:pPr>
              <w:jc w:val="right"/>
              <w:ind w:right="870"/>
              <w:spacing w:after="0" w:line="142" w:lineRule="exact"/>
              <w:rPr>
                <w:sz w:val="20"/>
                <w:szCs w:val="20"/>
                <w:color w:val="auto"/>
              </w:rPr>
            </w:pPr>
            <w:r>
              <w:rPr>
                <w:rFonts w:ascii="Times New Roman" w:cs="Times New Roman" w:eastAsia="Times New Roman" w:hAnsi="Times New Roman"/>
                <w:sz w:val="14"/>
                <w:szCs w:val="14"/>
                <w:color w:val="auto"/>
              </w:rPr>
              <w:t>2025</w:t>
            </w:r>
          </w:p>
        </w:tc>
      </w:tr>
      <w:tr>
        <w:trPr>
          <w:trHeight w:val="210"/>
        </w:trPr>
        <w:tc>
          <w:tcPr>
            <w:tcW w:w="664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r>
      <w:tr>
        <w:trPr>
          <w:trHeight w:val="216"/>
        </w:trPr>
        <w:tc>
          <w:tcPr>
            <w:tcW w:w="804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$11,586</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6,387</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16"/>
        </w:trPr>
        <w:tc>
          <w:tcPr>
            <w:tcW w:w="804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3,668</w:t>
            </w:r>
          </w:p>
        </w:tc>
        <w:tc>
          <w:tcPr>
            <w:tcW w:w="24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w:t>
            </w:r>
          </w:p>
        </w:tc>
        <w:tc>
          <w:tcPr>
            <w:tcW w:w="240" w:type="dxa"/>
            <w:vAlign w:val="bottom"/>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9,137</w:t>
            </w:r>
          </w:p>
        </w:tc>
      </w:tr>
      <w:tr>
        <w:trPr>
          <w:trHeight w:val="250"/>
        </w:trPr>
        <w:tc>
          <w:tcPr>
            <w:tcW w:w="66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140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$26,524</w:t>
            </w:r>
          </w:p>
        </w:tc>
        <w:tc>
          <w:tcPr>
            <w:tcW w:w="240" w:type="dxa"/>
            <w:vAlign w:val="bottom"/>
            <w:tcBorders>
              <w:bottom w:val="single" w:sz="8" w:color="CCFFCC"/>
            </w:tcBorders>
            <w:shd w:val="clear" w:color="auto" w:fill="CCFFCC"/>
          </w:tcPr>
          <w:p>
            <w:pPr>
              <w:spacing w:after="0"/>
              <w:rPr>
                <w:sz w:val="21"/>
                <w:szCs w:val="21"/>
                <w:color w:val="auto"/>
              </w:rPr>
            </w:pPr>
          </w:p>
        </w:tc>
        <w:tc>
          <w:tcPr>
            <w:tcW w:w="2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1460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1460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left="380" w:right="60" w:hanging="372"/>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represent the excess tax benefits and tax deficiencies of the equity awards vested during the period. Excess tax benefits (deficiencies) occur when the amount deductible on our tax return for an equity award is more (less) than the cumulative compensation cost recognized for financial reporting purposes. As discussed above, we exclude equity-based compensation from adjusted non-GAAP results to be consistent with other companies in the software industry and for the other reasons explained in our Current Report on Form 8-K filed with the SEC. Therefore, we also exclude the related tax benefit (expense) generated upon their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372" w:hanging="372"/>
        <w:spacing w:after="0" w:line="256" w:lineRule="auto"/>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we recorded $7.0 million of expense for an unusual health insurance claim. During the first quarter of 2025, we received an insurance recovery of $4.7 million for this claim, partially offset by $1.0 million of ongoing expense for the claim. During the second quarter of 2025, we recorded an additional $3.0 million of expense for this unusual health insurance claim. During the fourth quarter of 2025, we settled the remaining balance of the claim and recorded $6.2 million of benefit as the final payment was much lower than the cost estimates previously provided by our health insurance provider. Based on the uncommonly large magnitude and nature of the claim and timing of related insurance recoveries, we do not believe that this expense reflects our normal operating activities, and we have excluded the amount from adjusted non-GAAP results.</w:t>
      </w:r>
    </w:p>
    <w:p>
      <w:pPr>
        <w:spacing w:after="0" w:line="79" w:lineRule="exact"/>
        <w:rPr>
          <w:rFonts w:ascii="Times New Roman" w:cs="Times New Roman" w:eastAsia="Times New Roman" w:hAnsi="Times New Roman"/>
          <w:sz w:val="18"/>
          <w:szCs w:val="18"/>
          <w:color w:val="auto"/>
        </w:rPr>
      </w:pPr>
    </w:p>
    <w:p>
      <w:pPr>
        <w:ind w:left="372" w:right="160" w:hanging="372"/>
        <w:spacing w:after="0" w:line="261" w:lineRule="auto"/>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eliminated about 100 positions to align our services capacity with customer demand, which had been impacted by macro-economic uncertainty. We recorded pre-tax restructuring expense in the first quarter of 2025 of approximately $2.9 million. The expense primarily consists of employee severance and outplacement services. We do not believe that the expense is a common cost that resulted from normal operating activities, and thus we have excluded the amount from adjusted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3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spacing w:after="0"/>
              <w:rPr>
                <w:sz w:val="18"/>
                <w:szCs w:val="18"/>
                <w:color w:val="auto"/>
              </w:rPr>
            </w:pPr>
          </w:p>
        </w:tc>
        <w:tc>
          <w:tcPr>
            <w:tcW w:w="4600" w:type="dxa"/>
            <w:vAlign w:val="bottom"/>
            <w:gridSpan w:val="2"/>
            <w:shd w:val="clear" w:color="auto" w:fill="CCFFCC"/>
          </w:tcPr>
          <w:p>
            <w:pPr>
              <w:jc w:val="right"/>
              <w:ind w:righ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226,133</w:t>
            </w:r>
          </w:p>
        </w:tc>
        <w:tc>
          <w:tcPr>
            <w:tcW w:w="3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328,747</w:t>
            </w: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227,110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214,679</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62,573</w:t>
            </w:r>
          </w:p>
        </w:tc>
        <w:tc>
          <w:tcPr>
            <w:tcW w:w="2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32"/>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515,816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 net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25,269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23,120</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47,431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50,443</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62,241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43,763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75,900</w:t>
            </w:r>
          </w:p>
        </w:tc>
      </w:tr>
      <w:tr>
        <w:trPr>
          <w:trHeight w:val="238"/>
        </w:trPr>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46,018</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44,343</w:t>
            </w:r>
          </w:p>
        </w:tc>
      </w:tr>
      <w:tr>
        <w:trPr>
          <w:trHeight w:val="209"/>
        </w:trPr>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740,538</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839,388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-856615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-582295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-307975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98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shd w:val="clear" w:color="auto" w:fill="CCFFCC"/>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FFC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22,415</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58,415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30,571</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355,909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20" w:type="dxa"/>
            <w:vAlign w:val="bottom"/>
            <w:tcBorders>
              <w:bottom w:val="single" w:sz="8" w:color="CCFFCC"/>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467,400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55,685</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12,278</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no par value; 20,000,000 shares authorized, no shares issued or outstanding in 2026</w:t>
            </w:r>
          </w:p>
        </w:tc>
        <w:tc>
          <w:tcPr>
            <w:tcW w:w="5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2025</w:t>
            </w:r>
          </w:p>
        </w:tc>
        <w:tc>
          <w:tcPr>
            <w:tcW w:w="5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80" w:type="dxa"/>
            <w:vAlign w:val="bottom"/>
            <w:shd w:val="clear" w:color="auto" w:fill="CCFFC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200,000,000 shares authorized; 59,164,492 and 59,845,291 shares</w:t>
            </w:r>
          </w:p>
        </w:tc>
        <w:tc>
          <w:tcPr>
            <w:tcW w:w="540" w:type="dxa"/>
            <w:vAlign w:val="bottom"/>
            <w:shd w:val="clear" w:color="auto" w:fill="CCFFCC"/>
          </w:tcPr>
          <w:p>
            <w:pPr>
              <w:spacing w:after="0"/>
              <w:rPr>
                <w:sz w:val="17"/>
                <w:szCs w:val="17"/>
                <w:color w:val="auto"/>
              </w:rPr>
            </w:pPr>
          </w:p>
        </w:tc>
        <w:tc>
          <w:tcPr>
            <w:tcW w:w="10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22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540" w:type="dxa"/>
            <w:vAlign w:val="bottom"/>
            <w:shd w:val="clear" w:color="auto" w:fill="CCFFCC"/>
          </w:tcPr>
          <w:p>
            <w:pPr>
              <w:spacing w:after="0"/>
              <w:rPr>
                <w:sz w:val="20"/>
                <w:szCs w:val="20"/>
                <w:color w:val="auto"/>
              </w:rPr>
            </w:pPr>
          </w:p>
        </w:tc>
        <w:tc>
          <w:tcPr>
            <w:tcW w:w="1040" w:type="dxa"/>
            <w:vAlign w:val="bottom"/>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240,577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(35,993)</w:t>
            </w:r>
          </w:p>
        </w:tc>
        <w:tc>
          <w:tcPr>
            <w:tcW w:w="5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(30,930)</w:t>
            </w:r>
          </w:p>
        </w:tc>
        <w:tc>
          <w:tcPr>
            <w:tcW w:w="0" w:type="dxa"/>
            <w:vAlign w:val="bottom"/>
          </w:tcPr>
          <w:p>
            <w:pPr>
              <w:spacing w:after="0"/>
              <w:rPr>
                <w:sz w:val="1"/>
                <w:szCs w:val="1"/>
                <w:color w:val="auto"/>
              </w:rPr>
            </w:pPr>
          </w:p>
        </w:tc>
      </w:tr>
      <w:tr>
        <w:trPr>
          <w:trHeight w:val="210"/>
        </w:trPr>
        <w:tc>
          <w:tcPr>
            <w:tcW w:w="7680" w:type="dxa"/>
            <w:vAlign w:val="bottom"/>
            <w:tcBorders>
              <w:top w:val="single" w:sz="8" w:color="CCFFCC"/>
            </w:tcBorders>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205,175</w:t>
            </w:r>
          </w:p>
        </w:tc>
        <w:tc>
          <w:tcPr>
            <w:tcW w:w="220" w:type="dxa"/>
            <w:vAlign w:val="bottom"/>
            <w:tcBorders>
              <w:top w:val="single" w:sz="8" w:color="CCFFC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314,765</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40" w:type="dxa"/>
            <w:vAlign w:val="bottom"/>
            <w:tcBorders>
              <w:bottom w:val="single" w:sz="8" w:color="auto"/>
            </w:tcBorders>
            <w:shd w:val="clear" w:color="auto" w:fill="CCFFC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740,538</w:t>
            </w:r>
          </w:p>
        </w:tc>
        <w:tc>
          <w:tcPr>
            <w:tcW w:w="2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839,388</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445"/>
        </w:trPr>
        <w:tc>
          <w:tcPr>
            <w:tcW w:w="7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-2914015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-1259205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-967740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-950595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6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49,295</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26,524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28,826</w:t>
            </w: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disposal of equipment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31,854</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(3,321)</w:t>
            </w:r>
          </w:p>
        </w:tc>
      </w:tr>
      <w:tr>
        <w:trPr>
          <w:trHeight w:val="216"/>
        </w:trPr>
        <w:tc>
          <w:tcPr>
            <w:tcW w:w="686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(9,651)</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(11,959)</w:t>
            </w:r>
          </w:p>
        </w:tc>
      </w:tr>
      <w:tr>
        <w:trPr>
          <w:trHeight w:val="21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(18,807)</w:t>
            </w:r>
          </w:p>
        </w:tc>
      </w:tr>
      <w:tr>
        <w:trPr>
          <w:trHeight w:val="216"/>
        </w:trPr>
        <w:tc>
          <w:tcPr>
            <w:tcW w:w="686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(15,790)</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00" w:type="dxa"/>
            <w:vAlign w:val="bottom"/>
          </w:tcPr>
          <w:p>
            <w:pPr>
              <w:spacing w:after="0"/>
              <w:rPr>
                <w:sz w:val="18"/>
                <w:szCs w:val="18"/>
                <w:color w:val="auto"/>
              </w:rPr>
            </w:pPr>
          </w:p>
        </w:tc>
      </w:tr>
      <w:tr>
        <w:trPr>
          <w:trHeight w:val="210"/>
        </w:trPr>
        <w:tc>
          <w:tcPr>
            <w:tcW w:w="686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84,045</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75,260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425"/>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(4,103)</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r>
      <w:tr>
        <w:trPr>
          <w:trHeight w:val="210"/>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8"/>
                <w:szCs w:val="18"/>
                <w:color w:val="auto"/>
              </w:rPr>
            </w:pPr>
          </w:p>
        </w:tc>
      </w:tr>
      <w:tr>
        <w:trPr>
          <w:trHeight w:val="425"/>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(179,387)</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(136,447)</w:t>
            </w:r>
          </w:p>
        </w:tc>
      </w:tr>
      <w:tr>
        <w:trPr>
          <w:trHeight w:val="210"/>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(179,387)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(136,447)</w:t>
            </w:r>
          </w:p>
        </w:tc>
        <w:tc>
          <w:tcPr>
            <w:tcW w:w="100" w:type="dxa"/>
            <w:vAlign w:val="bottom"/>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(3,169)</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FFCC"/>
          </w:tcPr>
          <w:p>
            <w:pPr>
              <w:spacing w:after="0"/>
              <w:rPr>
                <w:sz w:val="18"/>
                <w:szCs w:val="18"/>
                <w:color w:val="auto"/>
              </w:rPr>
            </w:pPr>
          </w:p>
        </w:tc>
      </w:tr>
      <w:tr>
        <w:trPr>
          <w:trHeight w:val="20"/>
        </w:trPr>
        <w:tc>
          <w:tcPr>
            <w:tcW w:w="686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(102,614)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(60,357)</w:t>
            </w:r>
          </w:p>
        </w:tc>
      </w:tr>
      <w:tr>
        <w:trPr>
          <w:trHeight w:val="238"/>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328,747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266,230</w:t>
            </w:r>
          </w:p>
        </w:tc>
        <w:tc>
          <w:tcPr>
            <w:tcW w:w="60" w:type="dxa"/>
            <w:vAlign w:val="bottom"/>
          </w:tcPr>
          <w:p>
            <w:pPr>
              <w:spacing w:after="0"/>
              <w:rPr>
                <w:sz w:val="20"/>
                <w:szCs w:val="20"/>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205,873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020" w:space="720"/>
            <w:col w:w="3500"/>
          </w:cols>
          <w:pgMar w:left="320" w:top="98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1"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GAAP and adjusted earnings per share by quarter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42"/>
        </w:trPr>
        <w:tc>
          <w:tcPr>
            <w:tcW w:w="304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r>
      <w:tr>
        <w:trPr>
          <w:trHeight w:val="210"/>
        </w:trPr>
        <w:tc>
          <w:tcPr>
            <w:tcW w:w="3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GAAP Diluted EPS</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GAAP:</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198"/>
        </w:trPr>
        <w:tc>
          <w:tcPr>
            <w:tcW w:w="30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Tax deficiency (benefit) of stock awards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30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Restructuring expense</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Unusual health insurance claim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040" w:type="dxa"/>
            <w:vAlign w:val="bottom"/>
            <w:tcBorders>
              <w:top w:val="single" w:sz="8" w:color="CCFFCC"/>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Adjusted Diluted EPS</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 w:type="dxa"/>
            <w:vAlign w:val="bottom"/>
            <w:tcBorders>
              <w:top w:val="single" w:sz="8" w:color="CCFFCC"/>
              <w:bottom w:val="single" w:sz="8" w:color="CCFFCC"/>
            </w:tcBorders>
            <w:shd w:val="clear" w:color="auto" w:fill="CCFFCC"/>
          </w:tcPr>
          <w:p>
            <w:pPr>
              <w:spacing w:after="0"/>
              <w:rPr>
                <w:sz w:val="21"/>
                <w:szCs w:val="21"/>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60" w:type="dxa"/>
            <w:vAlign w:val="bottom"/>
            <w:tcBorders>
              <w:top w:val="single" w:sz="8" w:color="CCFFCC"/>
              <w:bottom w:val="single" w:sz="8" w:color="CCFFCC"/>
            </w:tcBorders>
            <w:shd w:val="clear" w:color="auto" w:fill="CCFFCC"/>
          </w:tcPr>
          <w:p>
            <w:pPr>
              <w:spacing w:after="0"/>
              <w:rPr>
                <w:sz w:val="21"/>
                <w:szCs w:val="21"/>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40" w:type="dxa"/>
            <w:vAlign w:val="bottom"/>
            <w:tcBorders>
              <w:top w:val="single" w:sz="8" w:color="CCFFCC"/>
              <w:bottom w:val="single" w:sz="8" w:color="CCFFCC"/>
            </w:tcBorders>
            <w:shd w:val="clear" w:color="auto" w:fill="CCFFCC"/>
          </w:tcPr>
          <w:p>
            <w:pPr>
              <w:spacing w:after="0"/>
              <w:rPr>
                <w:sz w:val="21"/>
                <w:szCs w:val="21"/>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60" w:type="dxa"/>
            <w:vAlign w:val="bottom"/>
            <w:tcBorders>
              <w:top w:val="single" w:sz="8" w:color="CCFFCC"/>
              <w:bottom w:val="single" w:sz="8" w:color="CCFFCC"/>
            </w:tcBorders>
            <w:shd w:val="clear" w:color="auto" w:fill="CCFFCC"/>
          </w:tcPr>
          <w:p>
            <w:pPr>
              <w:spacing w:after="0"/>
              <w:rPr>
                <w:sz w:val="21"/>
                <w:szCs w:val="21"/>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40" w:type="dxa"/>
            <w:vAlign w:val="bottom"/>
            <w:tcBorders>
              <w:top w:val="single" w:sz="8" w:color="CCFFCC"/>
              <w:bottom w:val="single" w:sz="8" w:color="CCFFCC"/>
            </w:tcBorders>
            <w:shd w:val="clear" w:color="auto" w:fill="CCFFCC"/>
          </w:tcPr>
          <w:p>
            <w:pPr>
              <w:spacing w:after="0"/>
              <w:rPr>
                <w:sz w:val="21"/>
                <w:szCs w:val="21"/>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r>
        <w:trPr>
          <w:trHeight w:val="219"/>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Fully Diluted Shares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61,074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60,642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-176530</wp:posOffset>
            </wp:positionV>
            <wp:extent cx="94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-159385</wp:posOffset>
            </wp:positionV>
            <wp:extent cx="946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-321945</wp:posOffset>
            </wp:positionV>
            <wp:extent cx="946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-176530</wp:posOffset>
            </wp:positionV>
            <wp:extent cx="93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-159385</wp:posOffset>
            </wp:positionV>
            <wp:extent cx="93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-321945</wp:posOffset>
            </wp:positionV>
            <wp:extent cx="939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-176530</wp:posOffset>
            </wp:positionV>
            <wp:extent cx="939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-159385</wp:posOffset>
            </wp:positionV>
            <wp:extent cx="93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-321945</wp:posOffset>
            </wp:positionV>
            <wp:extent cx="93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-176530</wp:posOffset>
            </wp:positionV>
            <wp:extent cx="93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wp:posOffset>
            </wp:positionV>
            <wp:extent cx="93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-321945</wp:posOffset>
            </wp:positionV>
            <wp:extent cx="9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-176530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-159385</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-321945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59"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and operating income by reportable segment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2"/>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42"/>
        </w:trPr>
        <w:tc>
          <w:tcPr>
            <w:tcW w:w="30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r>
      <w:tr>
        <w:trPr>
          <w:trHeight w:val="209"/>
        </w:trPr>
        <w:tc>
          <w:tcPr>
            <w:tcW w:w="33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$206,606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$810,426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$214,550</w:t>
            </w:r>
          </w:p>
        </w:tc>
      </w:tr>
      <w:tr>
        <w:trPr>
          <w:trHeight w:val="216"/>
        </w:trPr>
        <w:tc>
          <w:tcPr>
            <w:tcW w:w="33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52,301</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53,975</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53,978</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215,796</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53,663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55,170</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r>
      <w:tr>
        <w:trPr>
          <w:trHeight w:val="250"/>
        </w:trPr>
        <w:tc>
          <w:tcPr>
            <w:tcW w:w="3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$262,787</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$272,421</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$270,389</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$1,081,392</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$282,215</w:t>
            </w:r>
          </w:p>
        </w:tc>
      </w:tr>
      <w:tr>
        <w:trPr>
          <w:trHeight w:val="196"/>
        </w:trPr>
        <w:tc>
          <w:tcPr>
            <w:tcW w:w="3080" w:type="dxa"/>
            <w:vAlign w:val="bottom"/>
            <w:tcBorders>
              <w:top w:val="single" w:sz="8" w:color="CCFF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33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GAAP Operating Income:</w:t>
            </w: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$39,875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$167,571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$39,005</w:t>
            </w:r>
          </w:p>
        </w:tc>
      </w:tr>
      <w:tr>
        <w:trPr>
          <w:trHeight w:val="216"/>
        </w:trPr>
        <w:tc>
          <w:tcPr>
            <w:tcW w:w="33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88,073</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19,670</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r>
      <w:tr>
        <w:trPr>
          <w:trHeight w:val="249"/>
        </w:trPr>
        <w:tc>
          <w:tcPr>
            <w:tcW w:w="3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$63,172</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$73,788</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$75,828</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$67,012</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$279,800</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$64,937</w:t>
            </w:r>
          </w:p>
        </w:tc>
      </w:tr>
      <w:tr>
        <w:trPr>
          <w:trHeight w:val="197"/>
        </w:trPr>
        <w:tc>
          <w:tcPr>
            <w:tcW w:w="3080" w:type="dxa"/>
            <w:vAlign w:val="bottom"/>
            <w:tcBorders>
              <w:top w:val="single" w:sz="8" w:color="CCFFC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33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Adjustments (pre-tax):</w:t>
            </w: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3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$28,826</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$30,585</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$111,263</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$26,524</w:t>
            </w:r>
          </w:p>
        </w:tc>
      </w:tr>
      <w:tr>
        <w:trPr>
          <w:trHeight w:val="216"/>
        </w:trPr>
        <w:tc>
          <w:tcPr>
            <w:tcW w:w="3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Unusual health insurance claim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40" w:type="dxa"/>
            <w:vAlign w:val="bottom"/>
            <w:tcBorders>
              <w:bottom w:val="single" w:sz="8" w:color="CCFFCC"/>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$27,283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$27,577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$24,361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$26,524</w:t>
            </w:r>
          </w:p>
        </w:tc>
      </w:tr>
      <w:tr>
        <w:trPr>
          <w:trHeight w:val="20"/>
        </w:trPr>
        <w:tc>
          <w:tcPr>
            <w:tcW w:w="3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3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Adjusted non-GAAP Operating Income:</w:t>
            </w: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$75,334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$274,889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$65,529</w:t>
            </w:r>
          </w:p>
        </w:tc>
      </w:tr>
      <w:tr>
        <w:trPr>
          <w:trHeight w:val="216"/>
        </w:trPr>
        <w:tc>
          <w:tcPr>
            <w:tcW w:w="33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88,073</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19,670</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r>
      <w:tr>
        <w:trPr>
          <w:trHeight w:val="249"/>
        </w:trPr>
        <w:tc>
          <w:tcPr>
            <w:tcW w:w="3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$91,269</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$101,071</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$103,405</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$91,373</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$387,118</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$91,461</w:t>
            </w:r>
          </w:p>
        </w:tc>
      </w:tr>
      <w:tr>
        <w:trPr>
          <w:trHeight w:val="1445"/>
        </w:trPr>
        <w:tc>
          <w:tcPr>
            <w:tcW w:w="3080" w:type="dxa"/>
            <w:vAlign w:val="bottom"/>
            <w:tcBorders>
              <w:top w:val="single" w:sz="8" w:color="CCFFCC"/>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FFC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FFC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FFC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FFC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FFCC"/>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-3676650</wp:posOffset>
            </wp:positionV>
            <wp:extent cx="946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-3659505</wp:posOffset>
            </wp:positionV>
            <wp:extent cx="946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-3676650</wp:posOffset>
            </wp:positionV>
            <wp:extent cx="93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-3659505</wp:posOffset>
            </wp:positionV>
            <wp:extent cx="93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-3676650</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-3659505</wp:posOffset>
            </wp:positionV>
            <wp:extent cx="93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-3676650</wp:posOffset>
            </wp:positionV>
            <wp:extent cx="93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-3659505</wp:posOffset>
            </wp:positionV>
            <wp:extent cx="939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-3676650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-3659505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-2819400</wp:posOffset>
            </wp:positionV>
            <wp:extent cx="946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-2802255</wp:posOffset>
            </wp:positionV>
            <wp:extent cx="946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-2819400</wp:posOffset>
            </wp:positionV>
            <wp:extent cx="93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-2802255</wp:posOffset>
            </wp:positionV>
            <wp:extent cx="93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-2819400</wp:posOffset>
            </wp:positionV>
            <wp:extent cx="93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-2802255</wp:posOffset>
            </wp:positionV>
            <wp:extent cx="93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-2819400</wp:posOffset>
            </wp:positionV>
            <wp:extent cx="93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-2802255</wp:posOffset>
            </wp:positionV>
            <wp:extent cx="93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-2819400</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-2802255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-1971040</wp:posOffset>
            </wp:positionV>
            <wp:extent cx="946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-1971040</wp:posOffset>
            </wp:positionV>
            <wp:extent cx="93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-1971040</wp:posOffset>
            </wp:positionV>
            <wp:extent cx="93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-1971040</wp:posOffset>
            </wp:positionV>
            <wp:extent cx="93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-1971040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-967740</wp:posOffset>
            </wp:positionV>
            <wp:extent cx="946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-950595</wp:posOffset>
            </wp:positionV>
            <wp:extent cx="946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-967740</wp:posOffset>
            </wp:positionV>
            <wp:extent cx="93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-950595</wp:posOffset>
            </wp:positionV>
            <wp:extent cx="93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-967740</wp:posOffset>
            </wp:positionV>
            <wp:extent cx="93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-950595</wp:posOffset>
            </wp:positionV>
            <wp:extent cx="93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-967740</wp:posOffset>
            </wp:positionV>
            <wp:extent cx="93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-950595</wp:posOffset>
            </wp:positionV>
            <wp:extent cx="93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-967740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-950595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Currency Fluctuation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increases (decreases) in the results of operations for each period attributable to the change in foreign currency exchange rates from the prior period as well as foreign currency gains (losses) included in other income, net for each period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2"/>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0" w:type="dxa"/>
            <w:vAlign w:val="bottom"/>
          </w:tcPr>
          <w:p>
            <w:pPr>
              <w:spacing w:after="0"/>
              <w:rPr>
                <w:sz w:val="1"/>
                <w:szCs w:val="1"/>
                <w:color w:val="auto"/>
              </w:rPr>
            </w:pPr>
          </w:p>
        </w:tc>
      </w:tr>
      <w:tr>
        <w:trPr>
          <w:trHeight w:val="209"/>
        </w:trPr>
        <w:tc>
          <w:tcPr>
            <w:tcW w:w="3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09"/>
        </w:trPr>
        <w:tc>
          <w:tcPr>
            <w:tcW w:w="3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 (losses) in other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vMerge w:val="restart"/>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2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1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$3,510</w:t>
            </w:r>
          </w:p>
        </w:tc>
        <w:tc>
          <w:tcPr>
            <w:tcW w:w="1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$2,936</w:t>
            </w:r>
          </w:p>
        </w:tc>
        <w:tc>
          <w:tcPr>
            <w:tcW w:w="1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$8,431</w:t>
            </w: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-24765</wp:posOffset>
            </wp:positionV>
            <wp:extent cx="946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94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93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939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Manhattan Associates has a large research and development center in Bangalore, India. The following table reflects the increases (decreases) in the financial results for each period attributable to changes in the Indian Rupee exchange rate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$785</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198"/>
        </w:trPr>
        <w:tc>
          <w:tcPr>
            <w:tcW w:w="3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 (losses) in other</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40" w:type="dxa"/>
            <w:vAlign w:val="bottom"/>
            <w:vMerge w:val="restart"/>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2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20" w:type="dxa"/>
            <w:vAlign w:val="bottom"/>
            <w:gridSpan w:val="2"/>
            <w:shd w:val="clear" w:color="auto" w:fill="CCFFC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impact of changes in the Indian</w:t>
            </w:r>
          </w:p>
        </w:tc>
        <w:tc>
          <w:tcPr>
            <w:tcW w:w="4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$800</w:t>
            </w:r>
          </w:p>
        </w:tc>
        <w:tc>
          <w:tcPr>
            <w:tcW w:w="140" w:type="dxa"/>
            <w:vAlign w:val="bottom"/>
            <w:vMerge w:val="restart"/>
            <w:shd w:val="clear" w:color="auto" w:fill="CCFFCC"/>
          </w:tcPr>
          <w:p>
            <w:pPr>
              <w:spacing w:after="0"/>
              <w:rPr>
                <w:sz w:val="16"/>
                <w:szCs w:val="16"/>
                <w:color w:val="auto"/>
              </w:rPr>
            </w:pPr>
          </w:p>
        </w:tc>
        <w:tc>
          <w:tcPr>
            <w:tcW w:w="12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60" w:type="dxa"/>
            <w:vAlign w:val="bottom"/>
            <w:vMerge w:val="restart"/>
            <w:shd w:val="clear" w:color="auto" w:fill="CCFFCC"/>
          </w:tcPr>
          <w:p>
            <w:pPr>
              <w:spacing w:after="0"/>
              <w:rPr>
                <w:sz w:val="16"/>
                <w:szCs w:val="16"/>
                <w:color w:val="auto"/>
              </w:rPr>
            </w:pPr>
          </w:p>
        </w:tc>
        <w:tc>
          <w:tcPr>
            <w:tcW w:w="12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$2,810</w:t>
            </w:r>
          </w:p>
        </w:tc>
        <w:tc>
          <w:tcPr>
            <w:tcW w:w="140" w:type="dxa"/>
            <w:vAlign w:val="bottom"/>
            <w:vMerge w:val="restart"/>
            <w:shd w:val="clear" w:color="auto" w:fill="CCFFCC"/>
          </w:tcPr>
          <w:p>
            <w:pPr>
              <w:spacing w:after="0"/>
              <w:rPr>
                <w:sz w:val="16"/>
                <w:szCs w:val="16"/>
                <w:color w:val="auto"/>
              </w:rPr>
            </w:pPr>
          </w:p>
        </w:tc>
        <w:tc>
          <w:tcPr>
            <w:tcW w:w="12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160" w:type="dxa"/>
            <w:vAlign w:val="bottom"/>
            <w:vMerge w:val="restart"/>
            <w:shd w:val="clear" w:color="auto" w:fill="CCFFCC"/>
          </w:tcPr>
          <w:p>
            <w:pPr>
              <w:spacing w:after="0"/>
              <w:rPr>
                <w:sz w:val="16"/>
                <w:szCs w:val="16"/>
                <w:color w:val="auto"/>
              </w:rPr>
            </w:pPr>
          </w:p>
        </w:tc>
        <w:tc>
          <w:tcPr>
            <w:tcW w:w="12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$6,415</w:t>
            </w:r>
          </w:p>
        </w:tc>
        <w:tc>
          <w:tcPr>
            <w:tcW w:w="140" w:type="dxa"/>
            <w:vAlign w:val="bottom"/>
            <w:vMerge w:val="restart"/>
            <w:shd w:val="clear" w:color="auto" w:fill="CCFFCC"/>
          </w:tcPr>
          <w:p>
            <w:pPr>
              <w:spacing w:after="0"/>
              <w:rPr>
                <w:sz w:val="16"/>
                <w:szCs w:val="16"/>
                <w:color w:val="auto"/>
              </w:rPr>
            </w:pPr>
          </w:p>
        </w:tc>
        <w:tc>
          <w:tcPr>
            <w:tcW w:w="12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$4,494</w:t>
            </w:r>
          </w:p>
        </w:tc>
        <w:tc>
          <w:tcPr>
            <w:tcW w:w="0" w:type="dxa"/>
            <w:vAlign w:val="bottom"/>
          </w:tcPr>
          <w:p>
            <w:pPr>
              <w:spacing w:after="0"/>
              <w:rPr>
                <w:sz w:val="1"/>
                <w:szCs w:val="1"/>
                <w:color w:val="auto"/>
              </w:rPr>
            </w:pPr>
          </w:p>
        </w:tc>
      </w:tr>
      <w:tr>
        <w:trPr>
          <w:trHeight w:val="234"/>
        </w:trPr>
        <w:tc>
          <w:tcPr>
            <w:tcW w:w="3080" w:type="dxa"/>
            <w:vAlign w:val="bottom"/>
            <w:tcBorders>
              <w:bottom w:val="single" w:sz="8" w:color="CCFFCC"/>
            </w:tcBorders>
            <w:shd w:val="clear" w:color="auto" w:fill="CCFFCC"/>
          </w:tcPr>
          <w:p>
            <w:pPr>
              <w:ind w:left="60"/>
              <w:spacing w:after="0" w:line="194" w:lineRule="exact"/>
              <w:rPr>
                <w:sz w:val="20"/>
                <w:szCs w:val="20"/>
                <w:color w:val="auto"/>
              </w:rPr>
            </w:pPr>
            <w:r>
              <w:rPr>
                <w:rFonts w:ascii="Times New Roman" w:cs="Times New Roman" w:eastAsia="Times New Roman" w:hAnsi="Times New Roman"/>
                <w:sz w:val="18"/>
                <w:szCs w:val="18"/>
                <w:color w:val="auto"/>
              </w:rPr>
              <w:t>Rupee</w:t>
            </w:r>
          </w:p>
        </w:tc>
        <w:tc>
          <w:tcPr>
            <w:tcW w:w="840" w:type="dxa"/>
            <w:vAlign w:val="bottom"/>
            <w:tcBorders>
              <w:bottom w:val="single" w:sz="8" w:color="auto"/>
            </w:tcBorders>
            <w:shd w:val="clear" w:color="auto" w:fill="CCFFCC"/>
          </w:tcPr>
          <w:p>
            <w:pPr>
              <w:spacing w:after="0"/>
              <w:rPr>
                <w:sz w:val="20"/>
                <w:szCs w:val="20"/>
                <w:color w:val="auto"/>
              </w:rPr>
            </w:pPr>
          </w:p>
        </w:tc>
        <w:tc>
          <w:tcPr>
            <w:tcW w:w="400" w:type="dxa"/>
            <w:vAlign w:val="bottom"/>
            <w:tcBorders>
              <w:bottom w:val="single" w:sz="8" w:color="auto"/>
            </w:tcBorders>
            <w:vMerge w:val="continue"/>
            <w:shd w:val="clear" w:color="auto" w:fill="CCFFCC"/>
          </w:tcPr>
          <w:p>
            <w:pPr>
              <w:spacing w:after="0"/>
              <w:rPr>
                <w:sz w:val="20"/>
                <w:szCs w:val="20"/>
                <w:color w:val="auto"/>
              </w:rPr>
            </w:pPr>
          </w:p>
        </w:tc>
        <w:tc>
          <w:tcPr>
            <w:tcW w:w="140" w:type="dxa"/>
            <w:vAlign w:val="bottom"/>
            <w:tcBorders>
              <w:bottom w:val="single" w:sz="8" w:color="CCFFCC"/>
            </w:tcBorders>
            <w:vMerge w:val="continue"/>
            <w:shd w:val="clear" w:color="auto" w:fill="CCFFCC"/>
          </w:tcPr>
          <w:p>
            <w:pPr>
              <w:spacing w:after="0"/>
              <w:rPr>
                <w:sz w:val="20"/>
                <w:szCs w:val="20"/>
                <w:color w:val="auto"/>
              </w:rPr>
            </w:pPr>
          </w:p>
        </w:tc>
        <w:tc>
          <w:tcPr>
            <w:tcW w:w="1240" w:type="dxa"/>
            <w:vAlign w:val="bottom"/>
            <w:tcBorders>
              <w:bottom w:val="single" w:sz="8" w:color="auto"/>
            </w:tcBorders>
            <w:vMerge w:val="continue"/>
            <w:shd w:val="clear" w:color="auto" w:fill="CCFFCC"/>
          </w:tcPr>
          <w:p>
            <w:pPr>
              <w:spacing w:after="0"/>
              <w:rPr>
                <w:sz w:val="20"/>
                <w:szCs w:val="20"/>
                <w:color w:val="auto"/>
              </w:rPr>
            </w:pPr>
          </w:p>
        </w:tc>
        <w:tc>
          <w:tcPr>
            <w:tcW w:w="160" w:type="dxa"/>
            <w:vAlign w:val="bottom"/>
            <w:tcBorders>
              <w:bottom w:val="single" w:sz="8" w:color="CCFFCC"/>
            </w:tcBorders>
            <w:vMerge w:val="continue"/>
            <w:shd w:val="clear" w:color="auto" w:fill="CCFFCC"/>
          </w:tcPr>
          <w:p>
            <w:pPr>
              <w:spacing w:after="0"/>
              <w:rPr>
                <w:sz w:val="20"/>
                <w:szCs w:val="20"/>
                <w:color w:val="auto"/>
              </w:rPr>
            </w:pPr>
          </w:p>
        </w:tc>
        <w:tc>
          <w:tcPr>
            <w:tcW w:w="1240" w:type="dxa"/>
            <w:vAlign w:val="bottom"/>
            <w:tcBorders>
              <w:bottom w:val="single" w:sz="8" w:color="auto"/>
            </w:tcBorders>
            <w:vMerge w:val="continue"/>
            <w:shd w:val="clear" w:color="auto" w:fill="CCFFCC"/>
          </w:tcPr>
          <w:p>
            <w:pPr>
              <w:spacing w:after="0"/>
              <w:rPr>
                <w:sz w:val="20"/>
                <w:szCs w:val="20"/>
                <w:color w:val="auto"/>
              </w:rPr>
            </w:pPr>
          </w:p>
        </w:tc>
        <w:tc>
          <w:tcPr>
            <w:tcW w:w="140" w:type="dxa"/>
            <w:vAlign w:val="bottom"/>
            <w:tcBorders>
              <w:bottom w:val="single" w:sz="8" w:color="CCFFCC"/>
            </w:tcBorders>
            <w:vMerge w:val="continue"/>
            <w:shd w:val="clear" w:color="auto" w:fill="CCFFCC"/>
          </w:tcPr>
          <w:p>
            <w:pPr>
              <w:spacing w:after="0"/>
              <w:rPr>
                <w:sz w:val="20"/>
                <w:szCs w:val="20"/>
                <w:color w:val="auto"/>
              </w:rPr>
            </w:pPr>
          </w:p>
        </w:tc>
        <w:tc>
          <w:tcPr>
            <w:tcW w:w="1240" w:type="dxa"/>
            <w:vAlign w:val="bottom"/>
            <w:tcBorders>
              <w:bottom w:val="single" w:sz="8" w:color="auto"/>
            </w:tcBorders>
            <w:vMerge w:val="continue"/>
            <w:shd w:val="clear" w:color="auto" w:fill="CCFFCC"/>
          </w:tcPr>
          <w:p>
            <w:pPr>
              <w:spacing w:after="0"/>
              <w:rPr>
                <w:sz w:val="20"/>
                <w:szCs w:val="20"/>
                <w:color w:val="auto"/>
              </w:rPr>
            </w:pPr>
          </w:p>
        </w:tc>
        <w:tc>
          <w:tcPr>
            <w:tcW w:w="160" w:type="dxa"/>
            <w:vAlign w:val="bottom"/>
            <w:tcBorders>
              <w:bottom w:val="single" w:sz="8" w:color="CCFFCC"/>
            </w:tcBorders>
            <w:vMerge w:val="continue"/>
            <w:shd w:val="clear" w:color="auto" w:fill="CCFFCC"/>
          </w:tcPr>
          <w:p>
            <w:pPr>
              <w:spacing w:after="0"/>
              <w:rPr>
                <w:sz w:val="20"/>
                <w:szCs w:val="20"/>
                <w:color w:val="auto"/>
              </w:rPr>
            </w:pPr>
          </w:p>
        </w:tc>
        <w:tc>
          <w:tcPr>
            <w:tcW w:w="1240" w:type="dxa"/>
            <w:vAlign w:val="bottom"/>
            <w:tcBorders>
              <w:bottom w:val="single" w:sz="8" w:color="auto"/>
            </w:tcBorders>
            <w:vMerge w:val="continue"/>
            <w:shd w:val="clear" w:color="auto" w:fill="CCFFCC"/>
          </w:tcPr>
          <w:p>
            <w:pPr>
              <w:spacing w:after="0"/>
              <w:rPr>
                <w:sz w:val="20"/>
                <w:szCs w:val="20"/>
                <w:color w:val="auto"/>
              </w:rPr>
            </w:pPr>
          </w:p>
        </w:tc>
        <w:tc>
          <w:tcPr>
            <w:tcW w:w="140" w:type="dxa"/>
            <w:vAlign w:val="bottom"/>
            <w:tcBorders>
              <w:bottom w:val="single" w:sz="8" w:color="CCFFCC"/>
            </w:tcBorders>
            <w:vMerge w:val="continue"/>
            <w:shd w:val="clear" w:color="auto" w:fill="CCFFCC"/>
          </w:tcPr>
          <w:p>
            <w:pPr>
              <w:spacing w:after="0"/>
              <w:rPr>
                <w:sz w:val="20"/>
                <w:szCs w:val="20"/>
                <w:color w:val="auto"/>
              </w:rPr>
            </w:pPr>
          </w:p>
        </w:tc>
        <w:tc>
          <w:tcPr>
            <w:tcW w:w="122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-25400</wp:posOffset>
            </wp:positionV>
            <wp:extent cx="94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946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93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93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93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93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93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93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includes the following components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42"/>
        </w:trPr>
        <w:tc>
          <w:tcPr>
            <w:tcW w:w="30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r>
      <w:tr>
        <w:trPr>
          <w:trHeight w:val="210"/>
        </w:trPr>
        <w:tc>
          <w:tcPr>
            <w:tcW w:w="3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gains (losses)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30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FFCC"/>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0"/>
        </w:trPr>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other income (loss)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$4,337</w:t>
            </w:r>
          </w:p>
        </w:tc>
      </w:tr>
      <w:tr>
        <w:trPr>
          <w:trHeight w:val="20"/>
        </w:trPr>
        <w:tc>
          <w:tcPr>
            <w:tcW w:w="30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-170815</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-170815</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expenditures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42"/>
        </w:trPr>
        <w:tc>
          <w:tcPr>
            <w:tcW w:w="308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3rd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r>
      <w:tr>
        <w:trPr>
          <w:trHeight w:val="250"/>
        </w:trPr>
        <w:tc>
          <w:tcPr>
            <w:tcW w:w="39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$891</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1445"/>
        </w:trPr>
        <w:tc>
          <w:tcPr>
            <w:tcW w:w="3080" w:type="dxa"/>
            <w:vAlign w:val="bottom"/>
            <w:tcBorders>
              <w:top w:val="single" w:sz="8" w:color="CCFFCC"/>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FFC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FFC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FFC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FFCC"/>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FFCC"/>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-967740</wp:posOffset>
            </wp:positionV>
            <wp:extent cx="946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-950595</wp:posOffset>
            </wp:positionV>
            <wp:extent cx="94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-967740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-950595</wp:posOffset>
            </wp:positionV>
            <wp:extent cx="939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-967740</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-950595</wp:posOffset>
            </wp:positionV>
            <wp:extent cx="93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-967740</wp:posOffset>
            </wp:positionV>
            <wp:extent cx="93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-950595</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-967740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-950595</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Repurchase Activity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gridSpan w:val="2"/>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gridSpan w:val="2"/>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0" w:type="dxa"/>
            <w:vAlign w:val="bottom"/>
          </w:tcPr>
          <w:p>
            <w:pPr>
              <w:spacing w:after="0"/>
              <w:rPr>
                <w:sz w:val="1"/>
                <w:szCs w:val="1"/>
                <w:color w:val="auto"/>
              </w:rPr>
            </w:pPr>
          </w:p>
        </w:tc>
      </w:tr>
      <w:tr>
        <w:trPr>
          <w:trHeight w:val="191"/>
        </w:trPr>
        <w:tc>
          <w:tcPr>
            <w:tcW w:w="308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Shares purchased under publicly-</w:t>
            </w:r>
          </w:p>
        </w:tc>
        <w:tc>
          <w:tcPr>
            <w:tcW w:w="12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announced buy-back program</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taxes due upon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vMerge w:val="restart"/>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shares purchased</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394"/>
        </w:trPr>
        <w:tc>
          <w:tcPr>
            <w:tcW w:w="308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Total cash paid for shares purchased</w:t>
            </w: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under publicly-announced buy-back</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program</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$149,983</w:t>
            </w:r>
          </w:p>
        </w:tc>
        <w:tc>
          <w:tcPr>
            <w:tcW w:w="0" w:type="dxa"/>
            <w:vAlign w:val="bottom"/>
          </w:tcPr>
          <w:p>
            <w:pPr>
              <w:spacing w:after="0"/>
              <w:rPr>
                <w:sz w:val="1"/>
                <w:szCs w:val="1"/>
                <w:color w:val="auto"/>
              </w:rPr>
            </w:pPr>
          </w:p>
        </w:tc>
      </w:tr>
      <w:tr>
        <w:trPr>
          <w:trHeight w:val="198"/>
        </w:trPr>
        <w:tc>
          <w:tcPr>
            <w:tcW w:w="308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Total cash paid for shares withheld for</w:t>
            </w: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taxes due upon vesting of restricted stock</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29,404</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cash paid for excise tax</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cash paid for shares repurchased</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$136,447</w:t>
            </w:r>
          </w:p>
        </w:tc>
        <w:tc>
          <w:tcPr>
            <w:tcW w:w="1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$50,191</w:t>
            </w:r>
          </w:p>
        </w:tc>
        <w:tc>
          <w:tcPr>
            <w:tcW w:w="1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$76,975</w:t>
            </w:r>
          </w:p>
        </w:tc>
        <w:tc>
          <w:tcPr>
            <w:tcW w:w="1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$315,162</w:t>
            </w: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$179,387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-1156970</wp:posOffset>
            </wp:positionV>
            <wp:extent cx="94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-1139190</wp:posOffset>
            </wp:positionV>
            <wp:extent cx="94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-1156970</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-1139190</wp:posOffset>
            </wp:positionV>
            <wp:extent cx="9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-1156970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-1139190</wp:posOffset>
            </wp:positionV>
            <wp:extent cx="939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-1156970</wp:posOffset>
            </wp:positionV>
            <wp:extent cx="93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-1139190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-1156970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-1139190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-24765</wp:posOffset>
            </wp:positionV>
            <wp:extent cx="94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946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93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disclose revenue that we expect to recognize from our remaining performance obligations ("RPO"). Over 98% of our RPO represents cloud native subscriptions with non-cancelable terms greater than one year (including cloud-deferred revenue as well as amounts we will invoice and recognize as revenue from our performance of cloud services in future periods). Maintenance contracts are typically one year and not included in the RPO. Our RPO as of the end of each period appears below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09"/>
        </w:trPr>
        <w:tc>
          <w:tcPr>
            <w:tcW w:w="35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$1,891,384</w:t>
            </w:r>
          </w:p>
        </w:tc>
        <w:tc>
          <w:tcPr>
            <w:tcW w:w="15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$2,013,495</w:t>
            </w:r>
          </w:p>
        </w:tc>
        <w:tc>
          <w:tcPr>
            <w:tcW w:w="15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$2,076,628</w:t>
            </w:r>
          </w:p>
        </w:tc>
        <w:tc>
          <w:tcPr>
            <w:tcW w:w="15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$2,232,234</w:t>
            </w:r>
          </w:p>
        </w:tc>
        <w:tc>
          <w:tcPr>
            <w:tcW w:w="15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$2,347,952</w:t>
            </w:r>
          </w:p>
        </w:tc>
      </w:tr>
      <w:tr>
        <w:trPr>
          <w:trHeight w:val="1465"/>
        </w:trPr>
        <w:tc>
          <w:tcPr>
            <w:tcW w:w="3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4"/>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o"/>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3"/>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4"/>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decimal"/>
      <w:start w:val="6"/>
    </w:lvl>
  </w:abstractNum>
  <w:abstractNum w:abstractNumId="16">
    <w:nsid w:val="25E45D3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2026-04-21T15:04:26Z</dcterms:created>
  <dcterms:modified xsi:type="dcterms:W3CDTF">2026-04-21T15:04:26Z</dcterms:modified>
</cp:coreProperties>
</file>