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anh-20260630.htm"/>
      <w:bookmarkStart w:id="1" w:name="ksmanh20260630"/>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564"/>
        <w:gridCol w:w="9641"/>
      </w:tblGrid>
      <w:tr>
        <w:trPr/>
        <w:tc>
          <w:tcPr>
            <w:tcW w:w="564" w:type="dxa"/>
            <w:tcBorders/>
            <w:vAlign w:val="center"/>
          </w:tcPr>
          <w:p>
            <w:pPr>
              <w:pStyle w:val="TableContents"/>
              <w:bidi w:val="0"/>
              <w:spacing w:before="0" w:after="283"/>
              <w:jc w:val="left"/>
              <w:rPr>
                <w:sz w:val="4"/>
                <w:szCs w:val="4"/>
              </w:rPr>
            </w:pPr>
            <w:r>
              <w:rPr>
                <w:sz w:val="4"/>
                <w:szCs w:val="4"/>
              </w:rPr>
            </w:r>
          </w:p>
        </w:tc>
        <w:tc>
          <w:tcPr>
            <w:tcW w:w="9641" w:type="dxa"/>
            <w:tcBorders/>
            <w:vAlign w:val="center"/>
          </w:tcPr>
          <w:p>
            <w:pPr>
              <w:pStyle w:val="TableContents"/>
              <w:bidi w:val="0"/>
              <w:spacing w:before="0" w:after="283"/>
              <w:jc w:val="left"/>
              <w:rPr>
                <w:sz w:val="4"/>
                <w:szCs w:val="4"/>
              </w:rPr>
            </w:pPr>
            <w:r>
              <w:rPr>
                <w:sz w:val="4"/>
                <w:szCs w:val="4"/>
              </w:rPr>
            </w:r>
          </w:p>
        </w:tc>
      </w:tr>
      <w:tr>
        <w:trPr/>
        <w:tc>
          <w:tcPr>
            <w:tcW w:w="564" w:type="dxa"/>
            <w:tcBorders/>
            <w:tcMar>
              <w:top w:w="0" w:type="dxa"/>
              <w:left w:w="0" w:type="dxa"/>
              <w:bottom w:w="0" w:type="dxa"/>
              <w:right w:w="0" w:type="dxa"/>
            </w:tcMar>
            <w:vAlign w:val="center"/>
          </w:tcPr>
          <w:p>
            <w:pPr>
              <w:pStyle w:val="TableContents"/>
              <w:bidi w:val="0"/>
              <w:spacing w:before="0" w:after="283"/>
              <w:ind w:left="0" w:right="0" w:firstLine="233"/>
              <w:jc w:val="left"/>
              <w:rPr>
                <w:color w:val="000000"/>
              </w:rPr>
            </w:pPr>
            <w:r>
              <w:rPr>
                <w:color w:val="000000"/>
              </w:rPr>
              <w:t>☒</w:t>
            </w:r>
          </w:p>
        </w:tc>
        <w:tc>
          <w:tcPr>
            <w:tcW w:w="9641" w:type="dxa"/>
            <w:tcBorders/>
            <w:tcMar>
              <w:top w:w="0" w:type="dxa"/>
              <w:left w:w="0" w:type="dxa"/>
              <w:bottom w:w="0" w:type="dxa"/>
              <w:right w:w="0" w:type="dxa"/>
            </w:tcMar>
            <w:vAlign w:val="center"/>
          </w:tcPr>
          <w:p>
            <w:pPr>
              <w:pStyle w:val="TableContents"/>
              <w:bidi w:val="0"/>
              <w:spacing w:before="0" w:after="283"/>
              <w:ind w:left="0" w:right="0" w:firstLine="23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20"/>
        </w:rPr>
        <w:t>For the quarterly period ended June 30,</w:t>
      </w:r>
      <w:r>
        <w:rPr>
          <w:rFonts w:ascii="Times New Roman" w:hAnsi="Times New Roman"/>
          <w:color w:val="000000"/>
          <w:sz w:val="20"/>
        </w:rPr>
        <w:t xml:space="preserve"> </w:t>
      </w:r>
      <w:r>
        <w:rPr>
          <w:rFonts w:ascii="Times New Roman" w:hAnsi="Times New Roman"/>
          <w:b/>
          <w:color w:val="000000"/>
          <w:sz w:val="20"/>
        </w:rPr>
        <w:t>2026</w:t>
      </w:r>
    </w:p>
    <w:p>
      <w:pPr>
        <w:pStyle w:val="TextBody"/>
        <w:bidi w:val="0"/>
        <w:spacing w:before="80" w:after="8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564"/>
        <w:gridCol w:w="9641"/>
      </w:tblGrid>
      <w:tr>
        <w:trPr/>
        <w:tc>
          <w:tcPr>
            <w:tcW w:w="564" w:type="dxa"/>
            <w:tcBorders/>
            <w:vAlign w:val="center"/>
          </w:tcPr>
          <w:p>
            <w:pPr>
              <w:pStyle w:val="TableContents"/>
              <w:bidi w:val="0"/>
              <w:spacing w:before="0" w:after="283"/>
              <w:jc w:val="left"/>
              <w:rPr>
                <w:sz w:val="4"/>
                <w:szCs w:val="4"/>
              </w:rPr>
            </w:pPr>
            <w:r>
              <w:rPr>
                <w:sz w:val="4"/>
                <w:szCs w:val="4"/>
              </w:rPr>
            </w:r>
          </w:p>
        </w:tc>
        <w:tc>
          <w:tcPr>
            <w:tcW w:w="9641" w:type="dxa"/>
            <w:tcBorders/>
            <w:vAlign w:val="center"/>
          </w:tcPr>
          <w:p>
            <w:pPr>
              <w:pStyle w:val="TableContents"/>
              <w:bidi w:val="0"/>
              <w:spacing w:before="0" w:after="283"/>
              <w:jc w:val="left"/>
              <w:rPr>
                <w:sz w:val="4"/>
                <w:szCs w:val="4"/>
              </w:rPr>
            </w:pPr>
            <w:r>
              <w:rPr>
                <w:sz w:val="4"/>
                <w:szCs w:val="4"/>
              </w:rPr>
            </w:r>
          </w:p>
        </w:tc>
      </w:tr>
      <w:tr>
        <w:trPr/>
        <w:tc>
          <w:tcPr>
            <w:tcW w:w="564" w:type="dxa"/>
            <w:tcBorders/>
            <w:tcMar>
              <w:top w:w="0" w:type="dxa"/>
              <w:left w:w="0" w:type="dxa"/>
              <w:bottom w:w="0" w:type="dxa"/>
              <w:right w:w="0" w:type="dxa"/>
            </w:tcMar>
            <w:vAlign w:val="center"/>
          </w:tcPr>
          <w:p>
            <w:pPr>
              <w:pStyle w:val="TableContents"/>
              <w:bidi w:val="0"/>
              <w:spacing w:before="0" w:after="283"/>
              <w:ind w:left="0" w:right="0" w:firstLine="233"/>
              <w:jc w:val="left"/>
              <w:rPr>
                <w:color w:val="000000"/>
              </w:rPr>
            </w:pPr>
            <w:r>
              <w:rPr>
                <w:color w:val="000000"/>
              </w:rPr>
              <w:t>☐</w:t>
            </w:r>
          </w:p>
        </w:tc>
        <w:tc>
          <w:tcPr>
            <w:tcW w:w="9641" w:type="dxa"/>
            <w:tcBorders/>
            <w:tcMar>
              <w:top w:w="0" w:type="dxa"/>
              <w:left w:w="0" w:type="dxa"/>
              <w:bottom w:w="0" w:type="dxa"/>
              <w:right w:w="0" w:type="dxa"/>
            </w:tcMar>
            <w:vAlign w:val="center"/>
          </w:tcPr>
          <w:p>
            <w:pPr>
              <w:pStyle w:val="TableContents"/>
              <w:bidi w:val="0"/>
              <w:spacing w:before="0" w:after="283"/>
              <w:ind w:left="0" w:right="0" w:firstLine="23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____________ to ____________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0-23999</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MANHATTAN ASSOCIATES,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0" w:after="120"/>
        <w:jc w:val="center"/>
        <w:rPr/>
      </w:pPr>
      <w:r>
        <w:rPr/>
        <w:t> </w:t>
      </w:r>
    </w:p>
    <w:p>
      <w:pPr>
        <w:pStyle w:val="TextBody"/>
        <w:bidi w:val="0"/>
        <w:jc w:val="left"/>
        <w:rPr/>
      </w:pPr>
      <w:r>
        <w:rPr/>
        <w:t> </w:t>
      </w:r>
    </w:p>
    <w:tbl>
      <w:tblPr>
        <w:tblW w:w="5394" w:type="dxa"/>
        <w:jc w:val="left"/>
        <w:tblInd w:w="0" w:type="dxa"/>
        <w:tblLayout w:type="fixed"/>
        <w:tblCellMar>
          <w:top w:w="28" w:type="dxa"/>
          <w:left w:w="28" w:type="dxa"/>
          <w:bottom w:w="28" w:type="dxa"/>
          <w:right w:w="28" w:type="dxa"/>
        </w:tblCellMar>
      </w:tblPr>
      <w:tblGrid>
        <w:gridCol w:w="3616"/>
        <w:gridCol w:w="146"/>
        <w:gridCol w:w="146"/>
        <w:gridCol w:w="1486"/>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Georgia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58-2373424</w:t>
            </w:r>
          </w:p>
        </w:tc>
      </w:tr>
      <w:tr>
        <w:trPr/>
        <w:tc>
          <w:tcPr>
            <w:tcW w:w="361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(State or Other Jurisdiction of</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(I.R.S. Employer</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6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2300 Windy Ridge Parkway, Tenth Floor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Atlanta, Georgia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30339</w:t>
            </w:r>
          </w:p>
        </w:tc>
      </w:tr>
      <w:tr>
        <w:trPr/>
        <w:tc>
          <w:tcPr>
            <w:tcW w:w="3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(770) 955-7070</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7383" w:type="dxa"/>
        <w:jc w:val="left"/>
        <w:tblInd w:w="0" w:type="dxa"/>
        <w:tblLayout w:type="fixed"/>
        <w:tblCellMar>
          <w:top w:w="28" w:type="dxa"/>
          <w:left w:w="28" w:type="dxa"/>
          <w:bottom w:w="28" w:type="dxa"/>
          <w:right w:w="28" w:type="dxa"/>
        </w:tblCellMar>
      </w:tblPr>
      <w:tblGrid>
        <w:gridCol w:w="3016"/>
        <w:gridCol w:w="886"/>
        <w:gridCol w:w="3481"/>
      </w:tblGrid>
      <w:tr>
        <w:trPr/>
        <w:tc>
          <w:tcPr>
            <w:tcW w:w="301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016" w:type="dxa"/>
            <w:tcBorders>
              <w:top w:val="single" w:sz="4" w:space="0" w:color="000000"/>
              <w:left w:val="single" w:sz="4"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886" w:type="dxa"/>
            <w:tcBorders>
              <w:top w:val="single" w:sz="4"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3481" w:type="dxa"/>
            <w:tcBorders>
              <w:top w:val="single" w:sz="4" w:space="0" w:color="000000"/>
              <w:bottom w:val="single" w:sz="6"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016" w:type="dxa"/>
            <w:tcBorders>
              <w:left w:val="single" w:sz="4" w:space="0" w:color="000000"/>
              <w:bottom w:val="single" w:sz="4"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$.01 per share</w:t>
            </w:r>
          </w:p>
        </w:tc>
        <w:tc>
          <w:tcPr>
            <w:tcW w:w="886" w:type="dxa"/>
            <w:tcBorders>
              <w:bottom w:val="single" w:sz="4"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MANH</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535" w:type="dxa"/>
        <w:jc w:val="left"/>
        <w:tblInd w:w="0" w:type="dxa"/>
        <w:tblLayout w:type="fixed"/>
        <w:tblCellMar>
          <w:top w:w="28" w:type="dxa"/>
          <w:left w:w="28" w:type="dxa"/>
          <w:bottom w:w="28" w:type="dxa"/>
          <w:right w:w="28" w:type="dxa"/>
        </w:tblCellMar>
      </w:tblPr>
      <w:tblGrid>
        <w:gridCol w:w="2401"/>
        <w:gridCol w:w="316"/>
        <w:gridCol w:w="146"/>
        <w:gridCol w:w="2311"/>
        <w:gridCol w:w="361"/>
      </w:tblGrid>
      <w:tr>
        <w:trPr/>
        <w:tc>
          <w:tcPr>
            <w:tcW w:w="24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number of shares of the Registrant’s class of capital stock outstanding as of July 28, 2026, the latest practicable date, is as follows: 58,304,972 shares of common stock, $0.01 par value per share.</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MANHATTAN ASSOCIATES,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Quarter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120" w:after="283"/>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12"/>
        <w:gridCol w:w="8295"/>
        <w:gridCol w:w="798"/>
      </w:tblGrid>
      <w:tr>
        <w:trPr/>
        <w:tc>
          <w:tcPr>
            <w:tcW w:w="1112" w:type="dxa"/>
            <w:tcBorders/>
            <w:vAlign w:val="center"/>
          </w:tcPr>
          <w:p>
            <w:pPr>
              <w:pStyle w:val="TableContents"/>
              <w:bidi w:val="0"/>
              <w:spacing w:before="0" w:after="283"/>
              <w:jc w:val="left"/>
              <w:rPr>
                <w:sz w:val="4"/>
                <w:szCs w:val="4"/>
              </w:rPr>
            </w:pPr>
            <w:r>
              <w:rPr>
                <w:sz w:val="4"/>
                <w:szCs w:val="4"/>
              </w:rPr>
            </w:r>
          </w:p>
        </w:tc>
        <w:tc>
          <w:tcPr>
            <w:tcW w:w="8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ind w:left="0" w:right="0" w:firstLine="116"/>
              <w:jc w:val="left"/>
              <w:rPr>
                <w:sz w:val="4"/>
                <w:szCs w:val="4"/>
              </w:rPr>
            </w:pPr>
            <w:r>
              <w:rPr>
                <w:sz w:val="4"/>
                <w:szCs w:val="4"/>
              </w:rPr>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center"/>
              <w:rPr/>
            </w:pPr>
            <w:hyperlink w:anchor="financial_information">
              <w:r>
                <w:rPr>
                  <w:rStyle w:val="InternetLink"/>
                  <w:rFonts w:ascii="Times New Roman" w:hAnsi="Times New Roman"/>
                  <w:b/>
                  <w:caps/>
                  <w:color w:val="0000FF"/>
                  <w:sz w:val="20"/>
                  <w:u w:val="single"/>
                </w:rPr>
                <w:t>Financial Information</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lef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lef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Item 1.</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left"/>
              <w:rPr/>
            </w:pPr>
            <w:hyperlink w:anchor="item_1">
              <w:r>
                <w:rPr>
                  <w:rStyle w:val="InternetLink"/>
                  <w:rFonts w:ascii="Times New Roman" w:hAnsi="Times New Roman"/>
                  <w:b/>
                  <w:color w:val="0000FF"/>
                  <w:sz w:val="20"/>
                  <w:u w:val="single"/>
                </w:rPr>
                <w:t>Financial Statements.</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606"/>
              <w:jc w:val="left"/>
              <w:rPr/>
            </w:pPr>
            <w:r>
              <w:rPr/>
              <w:t> </w:t>
            </w:r>
          </w:p>
        </w:tc>
      </w:tr>
      <w:tr>
        <w:trPr/>
        <w:tc>
          <w:tcPr>
            <w:tcW w:w="9407" w:type="dxa"/>
            <w:gridSpan w:val="2"/>
            <w:tcBorders/>
            <w:tcMar>
              <w:top w:w="0" w:type="dxa"/>
              <w:left w:w="0" w:type="dxa"/>
              <w:bottom w:w="0" w:type="dxa"/>
              <w:right w:w="0" w:type="dxa"/>
            </w:tcMar>
            <w:vAlign w:val="center"/>
          </w:tcPr>
          <w:p>
            <w:pPr>
              <w:pStyle w:val="TableContents"/>
              <w:bidi w:val="0"/>
              <w:spacing w:before="0" w:after="283"/>
              <w:ind w:left="0" w:right="0" w:firstLine="116"/>
              <w:jc w:val="left"/>
              <w:rPr/>
            </w:pPr>
            <w:hyperlink w:anchor="balance_sheets">
              <w:r>
                <w:rPr>
                  <w:rStyle w:val="InternetLink"/>
                  <w:rFonts w:ascii="Times New Roman" w:hAnsi="Times New Roman"/>
                  <w:color w:val="0000FF"/>
                  <w:sz w:val="20"/>
                  <w:u w:val="single"/>
                </w:rPr>
                <w:t>Condensed Consolidated Balance Sheets as of June 30, 2026 (unaudited) and December 31, 2025</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3</w:t>
            </w:r>
          </w:p>
        </w:tc>
      </w:tr>
      <w:tr>
        <w:trPr/>
        <w:tc>
          <w:tcPr>
            <w:tcW w:w="9407" w:type="dxa"/>
            <w:gridSpan w:val="2"/>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606"/>
              <w:jc w:val="right"/>
              <w:rPr/>
            </w:pPr>
            <w:r>
              <w:rPr/>
              <w:t> </w:t>
            </w:r>
          </w:p>
        </w:tc>
      </w:tr>
      <w:tr>
        <w:trPr/>
        <w:tc>
          <w:tcPr>
            <w:tcW w:w="9407" w:type="dxa"/>
            <w:gridSpan w:val="2"/>
            <w:tcBorders/>
            <w:tcMar>
              <w:top w:w="0" w:type="dxa"/>
              <w:left w:w="0" w:type="dxa"/>
              <w:bottom w:w="0" w:type="dxa"/>
              <w:right w:w="0" w:type="dxa"/>
            </w:tcMar>
            <w:vAlign w:val="center"/>
          </w:tcPr>
          <w:p>
            <w:pPr>
              <w:pStyle w:val="TableContents"/>
              <w:bidi w:val="0"/>
              <w:spacing w:before="0" w:after="283"/>
              <w:ind w:left="0" w:right="0" w:firstLine="116"/>
              <w:jc w:val="left"/>
              <w:rPr/>
            </w:pPr>
            <w:hyperlink w:anchor="statements_of_income">
              <w:r>
                <w:rPr>
                  <w:rStyle w:val="InternetLink"/>
                  <w:rFonts w:ascii="Times New Roman" w:hAnsi="Times New Roman"/>
                  <w:color w:val="0000FF"/>
                  <w:sz w:val="20"/>
                  <w:u w:val="single"/>
                </w:rPr>
                <w:t>Condensed Consolidated Statements of Income for the three and six months ended June 30, 2026 and 2025 (unaudited)</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4</w:t>
            </w:r>
          </w:p>
        </w:tc>
      </w:tr>
      <w:tr>
        <w:trPr/>
        <w:tc>
          <w:tcPr>
            <w:tcW w:w="9407" w:type="dxa"/>
            <w:gridSpan w:val="2"/>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606"/>
              <w:jc w:val="right"/>
              <w:rPr/>
            </w:pPr>
            <w:r>
              <w:rPr/>
              <w:t> </w:t>
            </w:r>
          </w:p>
        </w:tc>
      </w:tr>
      <w:tr>
        <w:trPr/>
        <w:tc>
          <w:tcPr>
            <w:tcW w:w="9407" w:type="dxa"/>
            <w:gridSpan w:val="2"/>
            <w:tcBorders/>
            <w:tcMar>
              <w:top w:w="0" w:type="dxa"/>
              <w:left w:w="0" w:type="dxa"/>
              <w:bottom w:w="0" w:type="dxa"/>
              <w:right w:w="0" w:type="dxa"/>
            </w:tcMar>
            <w:vAlign w:val="center"/>
          </w:tcPr>
          <w:p>
            <w:pPr>
              <w:pStyle w:val="TableContents"/>
              <w:bidi w:val="0"/>
              <w:spacing w:before="0" w:after="283"/>
              <w:ind w:left="0" w:right="0" w:firstLine="116"/>
              <w:jc w:val="left"/>
              <w:rPr/>
            </w:pPr>
            <w:hyperlink w:anchor="comprehensive_income">
              <w:r>
                <w:rPr>
                  <w:rStyle w:val="InternetLink"/>
                  <w:rFonts w:ascii="Times New Roman" w:hAnsi="Times New Roman"/>
                  <w:color w:val="0000FF"/>
                  <w:sz w:val="20"/>
                  <w:u w:val="single"/>
                </w:rPr>
                <w:t>Condensed Consolidated Statements of Comprehensive Income for the three and six months ended June 30, 2026 and 2025 (unaudited)</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5</w:t>
            </w:r>
          </w:p>
        </w:tc>
      </w:tr>
      <w:tr>
        <w:trPr/>
        <w:tc>
          <w:tcPr>
            <w:tcW w:w="10205" w:type="dxa"/>
            <w:gridSpan w:val="3"/>
            <w:tcBorders/>
            <w:tcMar>
              <w:top w:w="0" w:type="dxa"/>
              <w:left w:w="0" w:type="dxa"/>
              <w:bottom w:w="0" w:type="dxa"/>
              <w:right w:w="0" w:type="dxa"/>
            </w:tcMar>
            <w:vAlign w:val="center"/>
          </w:tcPr>
          <w:p>
            <w:pPr>
              <w:pStyle w:val="TableContents"/>
              <w:bidi w:val="0"/>
              <w:spacing w:before="0" w:after="283"/>
              <w:ind w:left="0" w:right="0" w:firstLine="606"/>
              <w:jc w:val="right"/>
              <w:rPr/>
            </w:pPr>
            <w:r>
              <w:rPr/>
              <w:t> </w:t>
            </w:r>
          </w:p>
        </w:tc>
      </w:tr>
      <w:tr>
        <w:trPr/>
        <w:tc>
          <w:tcPr>
            <w:tcW w:w="9407" w:type="dxa"/>
            <w:gridSpan w:val="2"/>
            <w:tcBorders/>
            <w:tcMar>
              <w:top w:w="0" w:type="dxa"/>
              <w:left w:w="0" w:type="dxa"/>
              <w:bottom w:w="0" w:type="dxa"/>
              <w:right w:w="0" w:type="dxa"/>
            </w:tcMar>
            <w:vAlign w:val="center"/>
          </w:tcPr>
          <w:p>
            <w:pPr>
              <w:pStyle w:val="TableContents"/>
              <w:bidi w:val="0"/>
              <w:spacing w:before="0" w:after="283"/>
              <w:ind w:left="0" w:right="0" w:firstLine="116"/>
              <w:jc w:val="left"/>
              <w:rPr/>
            </w:pPr>
            <w:hyperlink w:anchor="cash_flows">
              <w:r>
                <w:rPr>
                  <w:rStyle w:val="InternetLink"/>
                  <w:rFonts w:ascii="Times New Roman" w:hAnsi="Times New Roman"/>
                  <w:color w:val="0000FF"/>
                  <w:sz w:val="20"/>
                  <w:u w:val="single"/>
                </w:rPr>
                <w:t>Condensed Consolidated Statements of Cash Flows for the six months ended June 30, 2026 and 2025 (unaudited)</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6</w:t>
            </w:r>
          </w:p>
        </w:tc>
      </w:tr>
      <w:tr>
        <w:trPr/>
        <w:tc>
          <w:tcPr>
            <w:tcW w:w="9407" w:type="dxa"/>
            <w:gridSpan w:val="2"/>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606"/>
              <w:jc w:val="right"/>
              <w:rPr/>
            </w:pPr>
            <w:r>
              <w:rPr/>
              <w:t> </w:t>
            </w:r>
          </w:p>
        </w:tc>
      </w:tr>
      <w:tr>
        <w:trPr/>
        <w:tc>
          <w:tcPr>
            <w:tcW w:w="9407" w:type="dxa"/>
            <w:gridSpan w:val="2"/>
            <w:tcBorders/>
            <w:tcMar>
              <w:top w:w="0" w:type="dxa"/>
              <w:left w:w="0" w:type="dxa"/>
              <w:bottom w:w="0" w:type="dxa"/>
              <w:right w:w="0" w:type="dxa"/>
            </w:tcMar>
            <w:vAlign w:val="center"/>
          </w:tcPr>
          <w:p>
            <w:pPr>
              <w:pStyle w:val="TableContents"/>
              <w:bidi w:val="0"/>
              <w:spacing w:before="0" w:after="283"/>
              <w:ind w:left="0" w:right="0" w:firstLine="116"/>
              <w:jc w:val="left"/>
              <w:rPr/>
            </w:pPr>
            <w:hyperlink w:anchor="equity">
              <w:r>
                <w:rPr>
                  <w:rStyle w:val="InternetLink"/>
                  <w:rFonts w:ascii="Times New Roman" w:hAnsi="Times New Roman"/>
                  <w:color w:val="0000FF"/>
                  <w:sz w:val="20"/>
                  <w:u w:val="single"/>
                </w:rPr>
                <w:t>Condensed Consolidated Statements of Shareholders’ Equity for the three and six months ended June 30, 2026 and 2025 (unaudited)</w:t>
              </w:r>
            </w:hyperlink>
            <w:r>
              <w:rPr>
                <w:rFonts w:ascii="Times New Roman" w:hAnsi="Times New Roman"/>
                <w:color w:val="000000"/>
                <w:sz w:val="20"/>
              </w:rPr>
              <w:t xml:space="preserve"> </w:t>
            </w:r>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7</w:t>
            </w:r>
          </w:p>
        </w:tc>
      </w:tr>
      <w:tr>
        <w:trPr/>
        <w:tc>
          <w:tcPr>
            <w:tcW w:w="9407" w:type="dxa"/>
            <w:gridSpan w:val="2"/>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606"/>
              <w:jc w:val="right"/>
              <w:rPr/>
            </w:pPr>
            <w:r>
              <w:rPr/>
              <w:t> </w:t>
            </w:r>
          </w:p>
        </w:tc>
      </w:tr>
      <w:tr>
        <w:trPr/>
        <w:tc>
          <w:tcPr>
            <w:tcW w:w="9407" w:type="dxa"/>
            <w:gridSpan w:val="2"/>
            <w:tcBorders/>
            <w:tcMar>
              <w:top w:w="0" w:type="dxa"/>
              <w:left w:w="0" w:type="dxa"/>
              <w:bottom w:w="0" w:type="dxa"/>
              <w:right w:w="0" w:type="dxa"/>
            </w:tcMar>
            <w:vAlign w:val="center"/>
          </w:tcPr>
          <w:p>
            <w:pPr>
              <w:pStyle w:val="TableContents"/>
              <w:bidi w:val="0"/>
              <w:spacing w:before="0" w:after="283"/>
              <w:ind w:left="0" w:right="0" w:firstLine="116"/>
              <w:jc w:val="left"/>
              <w:rPr/>
            </w:pPr>
            <w:hyperlink w:anchor="notes">
              <w:r>
                <w:rPr>
                  <w:rStyle w:val="InternetLink"/>
                  <w:rFonts w:ascii="Times New Roman" w:hAnsi="Times New Roman"/>
                  <w:color w:val="0000FF"/>
                  <w:sz w:val="20"/>
                  <w:u w:val="single"/>
                </w:rPr>
                <w:t>Notes to Condensed Consolidated Financial Statements (unaudited</w:t>
              </w:r>
            </w:hyperlink>
            <w:hyperlink w:anchor="notes">
              <w:r>
                <w:rPr>
                  <w:rStyle w:val="InternetLink"/>
                  <w:rFonts w:ascii="Times New Roman" w:hAnsi="Times New Roman"/>
                  <w:color w:val="0000FF"/>
                  <w:sz w:val="20"/>
                </w:rPr>
                <w:t>)</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8</w:t>
            </w:r>
          </w:p>
        </w:tc>
      </w:tr>
      <w:tr>
        <w:trPr/>
        <w:tc>
          <w:tcPr>
            <w:tcW w:w="9407" w:type="dxa"/>
            <w:gridSpan w:val="2"/>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righ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Item 2.</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left"/>
              <w:rPr/>
            </w:pPr>
            <w:hyperlink w:anchor="item_2_mda">
              <w:r>
                <w:rPr>
                  <w:rStyle w:val="InternetLink"/>
                  <w:rFonts w:ascii="Times New Roman" w:hAnsi="Times New Roman"/>
                  <w:b/>
                  <w:color w:val="0000FF"/>
                  <w:sz w:val="20"/>
                  <w:u w:val="single"/>
                </w:rPr>
                <w:t>Management’s Discussion and Analysis of Financial Condition and Results of Operations.</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15</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righ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Item 3.</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left"/>
              <w:rPr/>
            </w:pPr>
            <w:hyperlink w:anchor="item_3_quantitative">
              <w:r>
                <w:rPr>
                  <w:rStyle w:val="InternetLink"/>
                  <w:rFonts w:ascii="Times New Roman" w:hAnsi="Times New Roman"/>
                  <w:b/>
                  <w:color w:val="0000FF"/>
                  <w:sz w:val="20"/>
                  <w:u w:val="single"/>
                </w:rPr>
                <w:t>Quantitative and Qualitative Disclosures About Market Risk.</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28</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righ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Item 4.</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left"/>
              <w:rPr/>
            </w:pPr>
            <w:hyperlink w:anchor="item_4_controls">
              <w:r>
                <w:rPr>
                  <w:rStyle w:val="InternetLink"/>
                  <w:rFonts w:ascii="Times New Roman" w:hAnsi="Times New Roman"/>
                  <w:b/>
                  <w:color w:val="0000FF"/>
                  <w:sz w:val="20"/>
                  <w:u w:val="single"/>
                </w:rPr>
                <w:t>Controls and Procedures.</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right"/>
              <w:rPr>
                <w:rFonts w:ascii="Times New Roman" w:hAnsi="Times New Roman"/>
                <w:color w:val="000000"/>
                <w:sz w:val="20"/>
              </w:rPr>
            </w:pPr>
            <w:r>
              <w:rPr>
                <w:rFonts w:ascii="Times New Roman" w:hAnsi="Times New Roman"/>
                <w:color w:val="000000"/>
                <w:sz w:val="20"/>
              </w:rPr>
              <w:t>28</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righ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center"/>
              <w:rPr>
                <w:rFonts w:ascii="Times New Roman" w:hAnsi="Times New Roman"/>
                <w:b/>
                <w:color w:val="000000"/>
                <w:sz w:val="20"/>
              </w:rPr>
            </w:pPr>
            <w:r>
              <w:rPr>
                <w:rFonts w:ascii="Times New Roman" w:hAnsi="Times New Roman"/>
                <w:b/>
                <w:color w:val="000000"/>
                <w:sz w:val="20"/>
              </w:rPr>
              <w:t>PART II</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lef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righ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lef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center"/>
              <w:rPr/>
            </w:pPr>
            <w:hyperlink w:anchor="other_information">
              <w:r>
                <w:rPr>
                  <w:rStyle w:val="InternetLink"/>
                  <w:rFonts w:ascii="Times New Roman" w:hAnsi="Times New Roman"/>
                  <w:b/>
                  <w:color w:val="0000FF"/>
                  <w:sz w:val="20"/>
                  <w:u w:val="single"/>
                </w:rPr>
                <w:t>OTHER INFORMATION</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lef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lef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Item 1.</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left"/>
              <w:rPr/>
            </w:pPr>
            <w:hyperlink w:anchor="item_1_legal_proceedings">
              <w:r>
                <w:rPr>
                  <w:rStyle w:val="InternetLink"/>
                  <w:rFonts w:ascii="Times New Roman" w:hAnsi="Times New Roman"/>
                  <w:b/>
                  <w:color w:val="0000FF"/>
                  <w:sz w:val="20"/>
                  <w:u w:val="single"/>
                </w:rPr>
                <w:t>Legal Proceedings.</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29</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righ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Item 1A.</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left"/>
              <w:rPr/>
            </w:pPr>
            <w:hyperlink w:anchor="item_1a_risk_factors">
              <w:r>
                <w:rPr>
                  <w:rStyle w:val="InternetLink"/>
                  <w:rFonts w:ascii="Times New Roman" w:hAnsi="Times New Roman"/>
                  <w:b/>
                  <w:color w:val="0000FF"/>
                  <w:sz w:val="20"/>
                  <w:u w:val="single"/>
                </w:rPr>
                <w:t>Risk Factors.</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29</w:t>
            </w:r>
          </w:p>
        </w:tc>
      </w:tr>
      <w:tr>
        <w:trPr/>
        <w:tc>
          <w:tcPr>
            <w:tcW w:w="9407" w:type="dxa"/>
            <w:gridSpan w:val="2"/>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righ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Item 2.</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left"/>
              <w:rPr/>
            </w:pPr>
            <w:hyperlink w:anchor="item_2_unregistered_sales">
              <w:r>
                <w:rPr>
                  <w:rStyle w:val="InternetLink"/>
                  <w:rFonts w:ascii="Times New Roman" w:hAnsi="Times New Roman"/>
                  <w:b/>
                  <w:color w:val="0000FF"/>
                  <w:sz w:val="20"/>
                  <w:u w:val="single"/>
                </w:rPr>
                <w:t>Unregistered Sales of Equity Securities and Use of Proceeds.</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29</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righ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Item 3.</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left"/>
              <w:rPr/>
            </w:pPr>
            <w:hyperlink w:anchor="item_3_defaults_upon">
              <w:r>
                <w:rPr>
                  <w:rStyle w:val="InternetLink"/>
                  <w:rFonts w:ascii="Times New Roman" w:hAnsi="Times New Roman"/>
                  <w:b/>
                  <w:color w:val="0000FF"/>
                  <w:sz w:val="20"/>
                  <w:u w:val="single"/>
                </w:rPr>
                <w:t>Defaults Upon Senior Securities.</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29</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righ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Item 4.</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left"/>
              <w:rPr/>
            </w:pPr>
            <w:hyperlink w:anchor="item_4_mine_safety">
              <w:r>
                <w:rPr>
                  <w:rStyle w:val="InternetLink"/>
                  <w:rFonts w:ascii="Times New Roman" w:hAnsi="Times New Roman"/>
                  <w:b/>
                  <w:color w:val="0000FF"/>
                  <w:sz w:val="20"/>
                  <w:u w:val="single"/>
                </w:rPr>
                <w:t>Mine Safety Disclosures.</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29</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righ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Item 5.</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left"/>
              <w:rPr/>
            </w:pPr>
            <w:hyperlink w:anchor="item_5_other_information">
              <w:r>
                <w:rPr>
                  <w:rStyle w:val="InternetLink"/>
                  <w:rFonts w:ascii="Times New Roman" w:hAnsi="Times New Roman"/>
                  <w:b/>
                  <w:color w:val="0000FF"/>
                  <w:sz w:val="20"/>
                  <w:u w:val="single"/>
                </w:rPr>
                <w:t>Other Information.</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29</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righ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Item 6.</w:t>
            </w:r>
          </w:p>
        </w:tc>
        <w:tc>
          <w:tcPr>
            <w:tcW w:w="8295" w:type="dxa"/>
            <w:tcBorders/>
            <w:tcMar>
              <w:top w:w="0" w:type="dxa"/>
              <w:left w:w="0" w:type="dxa"/>
              <w:bottom w:w="0" w:type="dxa"/>
              <w:right w:w="0" w:type="dxa"/>
            </w:tcMar>
            <w:vAlign w:val="center"/>
          </w:tcPr>
          <w:p>
            <w:pPr>
              <w:pStyle w:val="TableContents"/>
              <w:bidi w:val="0"/>
              <w:spacing w:before="0" w:after="283"/>
              <w:ind w:left="0" w:right="0" w:firstLine="116"/>
              <w:jc w:val="left"/>
              <w:rPr/>
            </w:pPr>
            <w:hyperlink w:anchor="item_6_exhibits">
              <w:r>
                <w:rPr>
                  <w:rStyle w:val="InternetLink"/>
                  <w:rFonts w:ascii="Times New Roman" w:hAnsi="Times New Roman"/>
                  <w:b/>
                  <w:color w:val="0000FF"/>
                  <w:sz w:val="20"/>
                  <w:u w:val="single"/>
                </w:rPr>
                <w:t>Exhibits.</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70"/>
              <w:jc w:val="right"/>
              <w:rPr>
                <w:rFonts w:ascii="Times New Roman" w:hAnsi="Times New Roman"/>
                <w:color w:val="000000"/>
                <w:sz w:val="20"/>
              </w:rPr>
            </w:pPr>
            <w:r>
              <w:rPr>
                <w:rFonts w:ascii="Times New Roman" w:hAnsi="Times New Roman"/>
                <w:color w:val="000000"/>
                <w:sz w:val="20"/>
              </w:rPr>
              <w:t>30</w:t>
            </w:r>
          </w:p>
        </w:tc>
      </w:tr>
      <w:tr>
        <w:trPr/>
        <w:tc>
          <w:tcPr>
            <w:tcW w:w="1112"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8295" w:type="dxa"/>
            <w:tcBorders/>
            <w:tcMar>
              <w:top w:w="0" w:type="dxa"/>
              <w:left w:w="0" w:type="dxa"/>
              <w:bottom w:w="0" w:type="dxa"/>
              <w:right w:w="0" w:type="dxa"/>
            </w:tcMar>
            <w:vAlign w:val="center"/>
          </w:tcPr>
          <w:p>
            <w:pPr>
              <w:pStyle w:val="TableContents"/>
              <w:bidi w:val="0"/>
              <w:spacing w:before="0" w:after="283"/>
              <w:ind w:left="0" w:right="0" w:firstLine="70"/>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right"/>
              <w:rPr/>
            </w:pPr>
            <w:r>
              <w:rPr/>
              <w:t> </w:t>
            </w:r>
          </w:p>
        </w:tc>
      </w:tr>
      <w:tr>
        <w:trPr/>
        <w:tc>
          <w:tcPr>
            <w:tcW w:w="9407" w:type="dxa"/>
            <w:gridSpan w:val="2"/>
            <w:tcBorders/>
            <w:tcMar>
              <w:top w:w="0" w:type="dxa"/>
              <w:left w:w="0" w:type="dxa"/>
              <w:bottom w:w="0" w:type="dxa"/>
              <w:right w:w="0" w:type="dxa"/>
            </w:tcMar>
            <w:vAlign w:val="center"/>
          </w:tcPr>
          <w:p>
            <w:pPr>
              <w:pStyle w:val="TableContents"/>
              <w:bidi w:val="0"/>
              <w:spacing w:before="0" w:after="283"/>
              <w:ind w:left="0" w:right="0" w:firstLine="116"/>
              <w:jc w:val="left"/>
              <w:rPr/>
            </w:pPr>
            <w:hyperlink w:anchor="signatures">
              <w:r>
                <w:rPr>
                  <w:rStyle w:val="InternetLink"/>
                  <w:rFonts w:ascii="Times New Roman" w:hAnsi="Times New Roman"/>
                  <w:color w:val="0000FF"/>
                  <w:sz w:val="20"/>
                  <w:u w:val="single"/>
                </w:rPr>
                <w:t>Signatures.</w:t>
              </w:r>
            </w:hyperlink>
          </w:p>
        </w:tc>
        <w:tc>
          <w:tcPr>
            <w:tcW w:w="798" w:type="dxa"/>
            <w:tcBorders/>
            <w:tcMar>
              <w:top w:w="0" w:type="dxa"/>
              <w:left w:w="0" w:type="dxa"/>
              <w:bottom w:w="0" w:type="dxa"/>
              <w:right w:w="0" w:type="dxa"/>
            </w:tcMar>
            <w:vAlign w:val="center"/>
          </w:tcPr>
          <w:p>
            <w:pPr>
              <w:pStyle w:val="TableContents"/>
              <w:bidi w:val="0"/>
              <w:spacing w:before="0" w:after="283"/>
              <w:ind w:left="0" w:right="0" w:firstLine="116"/>
              <w:jc w:val="right"/>
              <w:rPr>
                <w:rFonts w:ascii="Times New Roman" w:hAnsi="Times New Roman"/>
                <w:color w:val="000000"/>
                <w:sz w:val="20"/>
              </w:rPr>
            </w:pPr>
            <w:r>
              <w:rPr>
                <w:rFonts w:ascii="Times New Roman" w:hAnsi="Times New Roman"/>
                <w:color w:val="000000"/>
                <w:sz w:val="20"/>
              </w:rPr>
              <w:t>31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jc w:val="center"/>
        <w:rPr>
          <w:rFonts w:ascii="Times New Roman" w:hAnsi="Times New Roman"/>
          <w:b/>
          <w:color w:val="000000"/>
          <w:sz w:val="20"/>
        </w:rPr>
      </w:pPr>
      <w:bookmarkStart w:id="3" w:name="financial_information"/>
      <w:bookmarkEnd w:id="3"/>
      <w:r>
        <w:rPr>
          <w:rFonts w:ascii="Times New Roman" w:hAnsi="Times New Roman"/>
          <w:b/>
          <w:color w:val="000000"/>
          <w:sz w:val="20"/>
        </w:rPr>
        <w:t>FINANCIAL INFORMATION</w:t>
      </w:r>
    </w:p>
    <w:p>
      <w:pPr>
        <w:pStyle w:val="TextBody"/>
        <w:bidi w:val="0"/>
        <w:spacing w:before="240" w:after="283"/>
        <w:jc w:val="left"/>
        <w:rPr>
          <w:rFonts w:ascii="Times New Roman" w:hAnsi="Times New Roman"/>
          <w:b/>
          <w:color w:val="000000"/>
          <w:sz w:val="20"/>
        </w:rPr>
      </w:pPr>
      <w:bookmarkStart w:id="4" w:name="item_1"/>
      <w:bookmarkEnd w:id="4"/>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MANHATTAN ASSOCIATES, INC. AND SUBSIDIARIES</w:t>
      </w:r>
    </w:p>
    <w:p>
      <w:pPr>
        <w:pStyle w:val="TextBody"/>
        <w:bidi w:val="0"/>
        <w:jc w:val="center"/>
        <w:rPr>
          <w:rFonts w:ascii="Times New Roman" w:hAnsi="Times New Roman"/>
          <w:b/>
          <w:color w:val="000000"/>
          <w:sz w:val="20"/>
        </w:rPr>
      </w:pPr>
      <w:bookmarkStart w:id="5" w:name="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6899"/>
        <w:gridCol w:w="146"/>
        <w:gridCol w:w="222"/>
        <w:gridCol w:w="822"/>
        <w:gridCol w:w="166"/>
        <w:gridCol w:w="146"/>
        <w:gridCol w:w="253"/>
        <w:gridCol w:w="938"/>
        <w:gridCol w:w="613"/>
      </w:tblGrid>
      <w:tr>
        <w:trPr/>
        <w:tc>
          <w:tcPr>
            <w:tcW w:w="6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186,110</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328,747</w:t>
            </w:r>
          </w:p>
        </w:tc>
        <w:tc>
          <w:tcPr>
            <w:tcW w:w="6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214,679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62,072</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39,912</w:t>
            </w:r>
          </w:p>
        </w:tc>
        <w:tc>
          <w:tcPr>
            <w:tcW w:w="613"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583,338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24,606</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23,120</w:t>
            </w:r>
          </w:p>
        </w:tc>
        <w:tc>
          <w:tcPr>
            <w:tcW w:w="6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net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62,240</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62,244</w:t>
            </w:r>
          </w:p>
        </w:tc>
        <w:tc>
          <w:tcPr>
            <w:tcW w:w="6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47,680</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44,343</w:t>
            </w:r>
          </w:p>
        </w:tc>
        <w:tc>
          <w:tcPr>
            <w:tcW w:w="613"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698,646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839,388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30,733</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22,182</w:t>
            </w:r>
          </w:p>
        </w:tc>
        <w:tc>
          <w:tcPr>
            <w:tcW w:w="6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29,984</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26,570</w:t>
            </w:r>
          </w:p>
        </w:tc>
        <w:tc>
          <w:tcPr>
            <w:tcW w:w="6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337,049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613"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455,913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long-term</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53,882</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56,180</w:t>
            </w:r>
          </w:p>
        </w:tc>
        <w:tc>
          <w:tcPr>
            <w:tcW w:w="61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no par value; 20,000,000 shares authorized, no shares issued or outstanding in 2026 and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200,000,000 shares authorized; 58,300,070 and 59,845,291 shares issued and outstanding at June 30, 2026 and December 31, 2025, respectively</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6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345,097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(37,026</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(30,930</w:t>
            </w:r>
          </w:p>
        </w:tc>
        <w:tc>
          <w:tcPr>
            <w:tcW w:w="613"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314,765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9"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698,646</w:t>
            </w:r>
          </w:p>
        </w:tc>
        <w:tc>
          <w:tcPr>
            <w:tcW w:w="16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839,388</w:t>
            </w:r>
          </w:p>
        </w:tc>
        <w:tc>
          <w:tcPr>
            <w:tcW w:w="613"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(continued)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MANHATTAN ASSOCIATES, INC. AND SUBSIDIARIES</w:t>
      </w:r>
    </w:p>
    <w:p>
      <w:pPr>
        <w:pStyle w:val="TextBody"/>
        <w:bidi w:val="0"/>
        <w:jc w:val="center"/>
        <w:rPr>
          <w:rFonts w:ascii="Times New Roman" w:hAnsi="Times New Roman"/>
          <w:b/>
          <w:color w:val="000000"/>
          <w:sz w:val="20"/>
        </w:rPr>
      </w:pPr>
      <w:bookmarkStart w:id="6" w:name="statements_of_income"/>
      <w:bookmarkEnd w:id="6"/>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tbl>
      <w:tblPr>
        <w:tblW w:w="10182" w:type="dxa"/>
        <w:jc w:val="left"/>
        <w:tblInd w:w="0" w:type="dxa"/>
        <w:tblLayout w:type="fixed"/>
        <w:tblCellMar>
          <w:top w:w="28" w:type="dxa"/>
          <w:left w:w="28" w:type="dxa"/>
          <w:bottom w:w="28" w:type="dxa"/>
          <w:right w:w="28" w:type="dxa"/>
        </w:tblCellMar>
      </w:tblPr>
      <w:tblGrid>
        <w:gridCol w:w="4701"/>
        <w:gridCol w:w="246"/>
        <w:gridCol w:w="211"/>
        <w:gridCol w:w="781"/>
        <w:gridCol w:w="146"/>
        <w:gridCol w:w="146"/>
        <w:gridCol w:w="211"/>
        <w:gridCol w:w="781"/>
        <w:gridCol w:w="146"/>
        <w:gridCol w:w="146"/>
        <w:gridCol w:w="211"/>
        <w:gridCol w:w="781"/>
        <w:gridCol w:w="146"/>
        <w:gridCol w:w="146"/>
        <w:gridCol w:w="211"/>
        <w:gridCol w:w="781"/>
        <w:gridCol w:w="391"/>
      </w:tblGrid>
      <w:tr>
        <w:trPr/>
        <w:tc>
          <w:tcPr>
            <w:tcW w:w="47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Cloud subscriptions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license</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10,820</w:t>
            </w:r>
          </w:p>
        </w:tc>
        <w:tc>
          <w:tcPr>
            <w:tcW w:w="3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Maintenance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133,047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128,899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258,764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250,026</w:t>
            </w:r>
          </w:p>
        </w:tc>
        <w:tc>
          <w:tcPr>
            <w:tcW w:w="3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Hardware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46"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297,794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272,421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580,009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535,208</w:t>
            </w:r>
          </w:p>
        </w:tc>
        <w:tc>
          <w:tcPr>
            <w:tcW w:w="39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cloud subscriptions, maintenance and services</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128,907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115,921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254,984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230,279</w:t>
            </w:r>
          </w:p>
        </w:tc>
        <w:tc>
          <w:tcPr>
            <w:tcW w:w="3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software license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34,765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72,111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70,169</w:t>
            </w:r>
          </w:p>
        </w:tc>
        <w:tc>
          <w:tcPr>
            <w:tcW w:w="3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26,741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50,447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50,195</w:t>
            </w:r>
          </w:p>
        </w:tc>
        <w:tc>
          <w:tcPr>
            <w:tcW w:w="3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8,263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8,263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391"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66,231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131,168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136,960</w:t>
            </w:r>
          </w:p>
        </w:tc>
        <w:tc>
          <w:tcPr>
            <w:tcW w:w="3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67,214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74,503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136,488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139,012</w:t>
            </w:r>
          </w:p>
        </w:tc>
        <w:tc>
          <w:tcPr>
            <w:tcW w:w="39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50,352</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56,780</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99,647</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109,362</w:t>
            </w:r>
          </w:p>
        </w:tc>
        <w:tc>
          <w:tcPr>
            <w:tcW w:w="39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9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shares: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58,760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59,221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60,741</w:t>
            </w:r>
          </w:p>
        </w:tc>
        <w:tc>
          <w:tcPr>
            <w:tcW w:w="3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(continued)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MANHATTAN ASSOCIATES, INC. AND SUBSIDIARIES</w:t>
      </w:r>
    </w:p>
    <w:p>
      <w:pPr>
        <w:pStyle w:val="TextBody"/>
        <w:bidi w:val="0"/>
        <w:jc w:val="center"/>
        <w:rPr>
          <w:rFonts w:ascii="Times New Roman" w:hAnsi="Times New Roman"/>
          <w:b/>
          <w:color w:val="000000"/>
          <w:sz w:val="20"/>
        </w:rPr>
      </w:pPr>
      <w:bookmarkStart w:id="7" w:name="comprehensive_income"/>
      <w:bookmarkEnd w:id="7"/>
      <w:r>
        <w:rPr>
          <w:rFonts w:ascii="Times New Roman" w:hAnsi="Times New Roman"/>
          <w:b/>
          <w:color w:val="000000"/>
          <w:sz w:val="20"/>
        </w:rPr>
        <w:t>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9358" w:type="dxa"/>
        <w:jc w:val="left"/>
        <w:tblInd w:w="0" w:type="dxa"/>
        <w:tblLayout w:type="fixed"/>
        <w:tblCellMar>
          <w:top w:w="28" w:type="dxa"/>
          <w:left w:w="28" w:type="dxa"/>
          <w:bottom w:w="28" w:type="dxa"/>
          <w:right w:w="28" w:type="dxa"/>
        </w:tblCellMar>
      </w:tblPr>
      <w:tblGrid>
        <w:gridCol w:w="4216"/>
        <w:gridCol w:w="146"/>
        <w:gridCol w:w="229"/>
        <w:gridCol w:w="734"/>
        <w:gridCol w:w="180"/>
        <w:gridCol w:w="158"/>
        <w:gridCol w:w="229"/>
        <w:gridCol w:w="734"/>
        <w:gridCol w:w="146"/>
        <w:gridCol w:w="146"/>
        <w:gridCol w:w="225"/>
        <w:gridCol w:w="720"/>
        <w:gridCol w:w="166"/>
        <w:gridCol w:w="146"/>
        <w:gridCol w:w="211"/>
        <w:gridCol w:w="781"/>
        <w:gridCol w:w="1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4"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50,352</w:t>
            </w:r>
          </w:p>
        </w:tc>
        <w:tc>
          <w:tcPr>
            <w:tcW w:w="18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0"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99,647</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109,362</w:t>
            </w:r>
          </w:p>
        </w:tc>
        <w:tc>
          <w:tcPr>
            <w:tcW w:w="19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4"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49,319</w:t>
            </w:r>
          </w:p>
        </w:tc>
        <w:tc>
          <w:tcPr>
            <w:tcW w:w="180"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0"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93,551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113,959</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Item 1. Financial Statements </w:t>
      </w:r>
      <w:r>
        <w:rPr>
          <w:rFonts w:ascii="Times New Roman" w:hAnsi="Times New Roman"/>
          <w:color w:val="000000"/>
          <w:sz w:val="20"/>
        </w:rPr>
        <w:t>(continued)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MANHATTAN ASSOCIATES, INC. AND SUBSIDIARIES</w:t>
      </w:r>
    </w:p>
    <w:p>
      <w:pPr>
        <w:pStyle w:val="TextBody"/>
        <w:bidi w:val="0"/>
        <w:jc w:val="center"/>
        <w:rPr>
          <w:rFonts w:ascii="Times New Roman" w:hAnsi="Times New Roman"/>
          <w:b/>
          <w:color w:val="000000"/>
          <w:sz w:val="20"/>
        </w:rPr>
      </w:pPr>
      <w:bookmarkStart w:id="8" w:name="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232"/>
        <w:gridCol w:w="746"/>
        <w:gridCol w:w="211"/>
        <w:gridCol w:w="841"/>
        <w:gridCol w:w="166"/>
        <w:gridCol w:w="146"/>
        <w:gridCol w:w="211"/>
        <w:gridCol w:w="841"/>
        <w:gridCol w:w="811"/>
      </w:tblGrid>
      <w:tr>
        <w:trPr/>
        <w:tc>
          <w:tcPr>
            <w:tcW w:w="623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7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052"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55,880</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53,101</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disposal of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24,706</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foreign currency (gain)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1052"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(10,996</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accrued and other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taxes</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(15,598</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174,725</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149,310</w:t>
            </w:r>
          </w:p>
        </w:tc>
        <w:tc>
          <w:tcPr>
            <w:tcW w:w="8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(5,108</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(5,108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(306,476</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(186,638</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(306,476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(186,638</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impact on cash</w:t>
            </w:r>
          </w:p>
        </w:tc>
        <w:tc>
          <w:tcPr>
            <w:tcW w:w="7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(5,778</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6,562</w:t>
            </w:r>
          </w:p>
        </w:tc>
        <w:tc>
          <w:tcPr>
            <w:tcW w:w="8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7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(142,637</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(35,637</w:t>
            </w:r>
          </w:p>
        </w:tc>
        <w:tc>
          <w:tcPr>
            <w:tcW w:w="8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328,747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7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186,110</w:t>
            </w:r>
          </w:p>
        </w:tc>
        <w:tc>
          <w:tcPr>
            <w:tcW w:w="16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230,593</w:t>
            </w:r>
          </w:p>
        </w:tc>
        <w:tc>
          <w:tcPr>
            <w:tcW w:w="8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Item 1. Financial Statements </w:t>
      </w:r>
      <w:r>
        <w:rPr>
          <w:rFonts w:ascii="Times New Roman" w:hAnsi="Times New Roman"/>
          <w:color w:val="000000"/>
          <w:sz w:val="20"/>
        </w:rPr>
        <w:t>(continued)</w:t>
      </w:r>
    </w:p>
    <w:p>
      <w:pPr>
        <w:pStyle w:val="TextBody"/>
        <w:bidi w:val="0"/>
        <w:spacing w:before="240" w:after="283"/>
        <w:jc w:val="center"/>
        <w:rPr>
          <w:rFonts w:ascii="Times New Roman" w:hAnsi="Times New Roman"/>
          <w:b/>
          <w:color w:val="000000"/>
          <w:sz w:val="20"/>
        </w:rPr>
      </w:pPr>
      <w:bookmarkStart w:id="9" w:name="equity"/>
      <w:bookmarkEnd w:id="9"/>
      <w:r>
        <w:rPr>
          <w:rFonts w:ascii="Times New Roman" w:hAnsi="Times New Roman"/>
          <w:b/>
          <w:color w:val="000000"/>
          <w:sz w:val="20"/>
        </w:rPr>
        <w:t>MANHATTAN ASSOCIATES,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857"/>
        <w:gridCol w:w="146"/>
        <w:gridCol w:w="146"/>
        <w:gridCol w:w="1036"/>
        <w:gridCol w:w="166"/>
        <w:gridCol w:w="146"/>
        <w:gridCol w:w="260"/>
        <w:gridCol w:w="521"/>
        <w:gridCol w:w="166"/>
        <w:gridCol w:w="146"/>
        <w:gridCol w:w="224"/>
        <w:gridCol w:w="782"/>
        <w:gridCol w:w="166"/>
        <w:gridCol w:w="146"/>
        <w:gridCol w:w="211"/>
        <w:gridCol w:w="841"/>
        <w:gridCol w:w="166"/>
        <w:gridCol w:w="148"/>
        <w:gridCol w:w="214"/>
        <w:gridCol w:w="747"/>
        <w:gridCol w:w="168"/>
        <w:gridCol w:w="149"/>
        <w:gridCol w:w="247"/>
        <w:gridCol w:w="993"/>
        <w:gridCol w:w="413"/>
      </w:tblGrid>
      <w:tr>
        <w:trPr/>
        <w:tc>
          <w:tcPr>
            <w:tcW w:w="1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Accumulated</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Other</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Total</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Comprehensive</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Shareholders'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Loss</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For the Three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 March 31, 2026 (unaudited)</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59,164,492</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5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591</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240,577</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4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(35,993</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93"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205,175</w:t>
            </w:r>
          </w:p>
        </w:tc>
        <w:tc>
          <w:tcPr>
            <w:tcW w:w="4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(874,779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(28,118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(96,979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(125,106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stock units issuance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10,357</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4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Excise tax on net 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(1,237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Equity-based compensation</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29,356</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29,356</w:t>
            </w:r>
          </w:p>
        </w:tc>
        <w:tc>
          <w:tcPr>
            <w:tcW w:w="4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(1,033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50,352</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50,352</w:t>
            </w:r>
          </w:p>
        </w:tc>
        <w:tc>
          <w:tcPr>
            <w:tcW w:w="41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June 30, 2026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58,300,070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193,950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(37,026</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157,507</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For the Six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 December 31, 2025 (audited)</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59,845,291</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5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598</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345,097</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4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(30,930</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93"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314,765</w:t>
            </w:r>
          </w:p>
        </w:tc>
        <w:tc>
          <w:tcPr>
            <w:tcW w:w="4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(2,115,608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(53,678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(250,794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(304,493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stock units issuance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570,387</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4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Excise tax on net 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(2,196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Equity-based compensation</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55,880</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55,880</w:t>
            </w:r>
          </w:p>
        </w:tc>
        <w:tc>
          <w:tcPr>
            <w:tcW w:w="4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(6,096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(6,096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99,647</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99,647</w:t>
            </w:r>
          </w:p>
        </w:tc>
        <w:tc>
          <w:tcPr>
            <w:tcW w:w="41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June 30, 2026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58,300,070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193,950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(37,026</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157,507</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For the 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 March 31, 2025 (unaudited)</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60,714,813</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607</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274,078</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(29,590</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3"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245,095</w:t>
            </w:r>
          </w:p>
        </w:tc>
        <w:tc>
          <w:tcPr>
            <w:tcW w:w="4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(50,191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stock units issuance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19,107</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4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Excise tax on net 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Equity-based compensation</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24,275</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24,275</w:t>
            </w:r>
          </w:p>
        </w:tc>
        <w:tc>
          <w:tcPr>
            <w:tcW w:w="4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3,265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3,265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56,780</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56,780</w:t>
            </w:r>
          </w:p>
        </w:tc>
        <w:tc>
          <w:tcPr>
            <w:tcW w:w="41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June 30, 2025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60,468,401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304,480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(26,325</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278,759</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For the 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 December 31, 2024 (audited)</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60,921,191</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609</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329,439</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(30,922</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3"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299,126</w:t>
            </w:r>
          </w:p>
        </w:tc>
        <w:tc>
          <w:tcPr>
            <w:tcW w:w="4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(983,828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(186,638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stock units issuance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531,038</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4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Excise tax on net 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Equity-based compensation</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53,101</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53,101</w:t>
            </w:r>
          </w:p>
        </w:tc>
        <w:tc>
          <w:tcPr>
            <w:tcW w:w="413"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109,362</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109,362</w:t>
            </w:r>
          </w:p>
        </w:tc>
        <w:tc>
          <w:tcPr>
            <w:tcW w:w="41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June 30, 2025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60,468,401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304,480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(26,325</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278,759</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notes"/>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Basis of Presentation and Principles of Consolidation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Manhattan Associates, Inc. and its subsidiaries (the “Company,” “we,” “us,” “our,” or “Manhattan”) have been prepared in accordance with accounting principles generally accepted in the United States (GAAP) for interim financial information, with the instructions to Form 10-Q and with Rule 10-01 of Regulation S-X. Accordingly, they do not include all of the information and footnotes required for complete financial statements. In the opinion of management, these condensed consolidated financial statements contain all normal recurring adjustments considered necessary for a fair presentation of our financial position at June 30, 2026, the results of operations for the three and six months ended June 30, 2026 and 2025, and cash flows for the six months ended June 30, 2026 and 2025. The results for the three and six months ended June 30, 2026 are not necessarily indicative of the results to be expected for the full year or any other interim period. These statements should be read in conjunction with our audited consolidated financial statements and management’s discussion and analysis included in our annual report on Form 10-K for the year ended December 31,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include our accounts and the accounts of our wholly owned subsidiaries. All intercompany balances and transactions have been eliminated in consolidation.</w:t>
      </w:r>
    </w:p>
    <w:p>
      <w:pPr>
        <w:pStyle w:val="TextBody"/>
        <w:bidi w:val="0"/>
        <w:spacing w:before="12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Accounting Standards Update No. 2024-03, Income Statement - Reporting Comprehensive Income - Expense Disaggregation Disclosures (Subtopic 220-40): Disaggregation of Income Statement Expenses ("ASU 2024-03"), and in January 2025, the FASB issued Accounting Standards Update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We expect to adopt the updated accounting guidance in our Annual Report on Form 10-K for the year ended December 31, 2027, and for interim period reporting beginning in 2028, as required in ASU 2024-03 and further clarified by ASU 2025-01. The Company is currently evaluating the impact that the adoption of these standards will have on its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Accounting Standards Update No. 2025-06, Intangibles - Goodwill and Other - Internal-Use Software (Subtopic 350-40): Targeted Improvements to the Accounting for Internal-Use Software. ASU 2025-06 amends certain aspects of the accounting for and disclosure for internal-use software costs, which removes references to software development project stages and considers different software development methods, including methods that entities may use to develop software in the future. ASU 2025-06 requires an entity to capitalize software costs when: (1) management has authorized and committed to funding the software project, and (2) it is probable that the project will be completed, and the software will be used to perform the function intended (referred to as the “probable-to-complete recognition threshold"). In evaluating the probable-to-complete recognition threshold, an entity is required to consider whether there is significant uncertainty associated with the development activities of the software. ASU 2025-06 is effective for annual reporting periods beginning after December 15, 2027, and interim reporting periods within those annual reporting periods. The Company is currently evaluating the new guidance but does not expect material changes to results of operations, cash flows, or financial condition.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when we transfer control of the promised products or services to our customers, in an amount that reflects the consideration we expect to be entitled to in exchange for those products or services. We derive our revenue from cloud subscriptions, software licenses, customer support services and software enhancements (“maintenance”) for software licenses, professional services, and sales of hardware. We exclude sales and usage-based taxes from revenue.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Nature of 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Cloud subscriptions include software as a service (“SaaS”) and hosting arrangements which provide customers with the right to use our software within a cloud environment that we provide and manage where the customer does not have the right to take possession of the software without significant penalty. SaaS and hosting revenues are recognized over the contract period as the service is provided.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services revenue consists of fees generated from implementation, training and application managed services, including reimbursements of out-of-pocket expenses in connection with our implementation services. Implementation services include system planning, design, configuration, testing, and other software implementation support, and are typically optional and distinct from our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software. Following implementation, customers may purchase application managed services to support and maintain our software. Fees for our services are separately priced and are generally billed on an hourly basis, and revenue is recognized over time as the services are performed. In certain situations, we render professional services under agreements based upon a fixed fee for portions of or all of the engagement. Revenue related to fixed-fee-based services contracts is recognized over time based on the proportion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cloud contracts with customers can include the sales of SaaS and services. We allocate the transaction price to the distinct performance obligations based on relative stand-alone selling price (SSP). We estimate SSP based on the prices charged to customers, or by using information such as market conditions and other observable inputs. The selling price of our cloud subscriptions are highly variable. Thus, we estimate SSP for our cloud subscriptions using the residual approach, determined based on total transaction price less the SSP of other goods and services promised in the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provide maintenance services to customers who have previously purchased a perpetual license, including a comprehensive 24 hours per day, 365 days per year program that provides customers with software upgrades, when and if available, which include additional or improved functionality and technological advances incorporating emerging supply chain and industry initiatives. Maintenance contracts typically only have one performance obligation. Revenue related to maintenance is generally paid in advance and recognized over the term of the agreement, typically twelve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perpetual software licenses provide the customer with a right to use the software as it exists at the time of purchase. We recognize revenue for distinct software licenses once the license period has begun and we have made the software available to the customer. The selling prices of our software licenses are highly variable. Thus, we estimate SSP for software licenses using the residual approach, determined based on total transaction price less the SSP of other goods and services promised in the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periodically purchase hardware products developed and manufactured by third parties from us for use with the software licenses purchased from us. These products include computer hardware, radio frequency terminal networks, radio frequency identification (RFID) chip readers, bar code printers and scanners, and other peripherals. As we do not physically control the hardware that we sell, we are acting as an agent in the transaction and recognize our hardware revenue net of related cost. We recognize hardware revenue when control is transferred to the customer upon shipment.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Contract Balances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Cloud subscriptions and maintenance for perpetual software licenses are typically billed annually in advance. Timing of invoicing to customers may differ from timing of revenue recognition. Payment terms for our software licenses vary. We have an established history of collecting under the terms of our software license contracts without providing refunds or concessions to our customers. Services are typically billed monthly as performed. In instances where the timing of revenue recognition differs from the timing of invoicing, we have determined that our contracts generally do not include a significant financing component. The primary purpose of our invoicing terms is to provide customers with predictable ways to purchase our software and services, not to provide or receive financing. Additionally, we are applying the practical expedient to exclude from consideration any contracts with payment terms of one year or less. We rarely offer terms extending beyond one year.</w:t>
      </w:r>
    </w:p>
    <w:p>
      <w:pPr>
        <w:pStyle w:val="TextBody"/>
        <w:bidi w:val="0"/>
        <w:jc w:val="left"/>
        <w:rPr>
          <w:rFonts w:ascii="Times New Roman" w:hAnsi="Times New Roman"/>
          <w:color w:val="000000"/>
          <w:sz w:val="20"/>
        </w:rPr>
      </w:pPr>
      <w:r>
        <w:rPr>
          <w:rFonts w:ascii="Times New Roman" w:hAnsi="Times New Roman"/>
          <w:color w:val="000000"/>
          <w:sz w:val="20"/>
        </w:rPr>
        <w:t>Deferred revenue mainly represents amounts collected prior to having completed performance of cloud subscriptions, maintenance, and professional services. In the three and six months ended June 30, 2026, we recognized $98.1 million and $237.2 million of revenue that was included in the deferred revenue balance as of December 31, 2025. In the three months ended June 30, 2026, we recognized $151.7 million of revenue that was included in the deferred revenue balance as of March 31,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Remaining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approximately $2.5 billion of revenue is expected to be recognized from remaining performance obligations. Over 99% of our remaining performance obligations represent cloud native subscriptions with a non-cancelable term greater than one year (including cloud-deferred revenue as well as amounts we will invoice and recognize as revenue from our performance of cloud services in future periods). Maintenance contracts for perpetual software licenses are typically one year in duration and are not included in the remaining performance obligations. We expect to recognize revenue on approximately 39% of these remaining performance obligations over the next 24 months with the majority of the remaining balance recognized over the following 36 months. We have elected not to provide disclosures regarding remaining performance obligations for contracts with a term of 1 year or less.</w:t>
      </w:r>
    </w:p>
    <w:p>
      <w:pPr>
        <w:pStyle w:val="TextBody"/>
        <w:bidi w:val="0"/>
        <w:spacing w:before="240" w:after="283"/>
        <w:jc w:val="left"/>
        <w:rPr>
          <w:rFonts w:ascii="Times New Roman" w:hAnsi="Times New Roman"/>
          <w:sz w:val="20"/>
        </w:rPr>
      </w:pPr>
      <w:r>
        <w:rPr>
          <w:rFonts w:ascii="Times New Roman" w:hAnsi="Times New Roman"/>
          <w:i/>
          <w:color w:val="000000"/>
          <w:sz w:val="20"/>
        </w:rPr>
        <w:t>Returns and Allowances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experienced significant returns or warranty claims to date and, as a result, have not recorded a provision for the cost of returns and product warranty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record an allowance for credit losses utilizing a model of internal historical losses data. In estimating the allowance for credit losses, we considered our historical write-offs, the historical creditworthiness of the customer, and other factors. We also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analyzed expected credit losses given future risks in projected economic conditions and future risks of customer collection. Should any of these factors change, the estimates made by us will also change accordingly, which could affect the level of our future allowances. Additions to the allowance for credit losses are recorded in general and administrative expense and were immaterial in all periods presented. Our credit loss reserve was $0.9 million as of June 30, 2026 and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adjust accounts receivable with a corresponding adjustment in services revenue for the most likely amount of potential service revenue adjustments based on a detailed assessment of accounts receivable. The total amount recorded to services revenue was a $1.1 million reduction and $0.1 million reduction for the three months ended June 30, 2026 and 2025, respectively, and $2.2 million and $0.3 million for the six months ended June 30, 2026 and 2025, respectively. As of June 30, 2026 and December 31, 2025, we have reduced our accounts receivable balance by $3.3 million and $1.9 million, respectively, for these potential adjustments.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Deferred Commissions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sales commissions to be incremental costs of obtaining a contract with a customer. We defer and recognize an asset for sales commissions related to performance obligations with an expected period of benefit of more than one year. We amortize these amounts over the expected benefit period, which we estimate by considering several factors, including the rate of technological change and duration of our customer contracts. Sales commission for renewal contracts are amortized over the related contractual renewal period. We apply the practical expedient to expense sales commissions when the amortization period would have been one year or less. Deferred commissions were $56.4 million as of June 30, 2026, of which $42.6 million is included in other assets and $13.8 million is included in prepaid expenses. Sales commission expense is included in Sales and Marketing expense in the accompanying Consolidated Statements of Income. Amortization of sales commissions was $3.6 million and $2.9 million for the three months ended June 30, 2026 and 2025, respectively, and $7.1 million and $5.8 million for the six months ended June 30, 2026 and 2025. No impairment losses were recognized during the periods.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our investments based on a fair value hierarchy disclosure framework that prioritizes and ranks the level of market price observability used in measuring assets and liabilities at fair value. Market price observability is affected by a number of factors, including the type of asset or liability and its characteristics. This hierarchy prioritizes the inputs into three broad levels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1–Quoted prices in active markets for identical instruments.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2–Quoted prices for similar instruments in active markets; quoted prices for identical or similar instruments in markets that are not active; and model-derived valuations in which all significant inputs and significant value drivers are observable in 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3–Valuations derived from valuation techniques in which one or more significant inputs or significant value drivers are unobservable.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investments typically have maturities of 90 days or less from the date of purchase and are classified as cash equivalents. At June 30, 2026, our cash and cash equivalents were $130.0 million and $56.1 million, respectively. Cash equivalents consist of highly liquid money market funds. For money market funds, we use quoted prices from active markets that are classified at Level 1, the highest level of observable input in the disclosure hierarchy framework. We had no investments classified at Level 2 or Level 3 at June 30,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granted 29,383 and 8,984 restricted stock units (RSUs) during the three months ended June 30, 2026 and 2025, respectively, and granted 837,553 and 495,334 RSUs during the six months ended June 30, 2026 and 2025, respectively. Equity-based compensation expense related to RSUs was $29.4 million and $24.3 million during the three months ended June 30, 2026 and 2025, respectively, and $55.9 million and $53.1 million during the six months ended June 30, 2026 and 2025, respectively.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present below a summary of changes during the six months ended June 30, 2026 in our unvested restricted stock units:</w:t>
      </w:r>
    </w:p>
    <w:tbl>
      <w:tblPr>
        <w:tblW w:w="5443" w:type="dxa"/>
        <w:jc w:val="left"/>
        <w:tblInd w:w="0" w:type="dxa"/>
        <w:tblLayout w:type="fixed"/>
        <w:tblCellMar>
          <w:top w:w="28" w:type="dxa"/>
          <w:left w:w="28" w:type="dxa"/>
          <w:bottom w:w="28" w:type="dxa"/>
          <w:right w:w="28" w:type="dxa"/>
        </w:tblCellMar>
      </w:tblPr>
      <w:tblGrid>
        <w:gridCol w:w="3031"/>
        <w:gridCol w:w="146"/>
        <w:gridCol w:w="278"/>
        <w:gridCol w:w="1777"/>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shares/units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1,396,941</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(570,387</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June 30, 2026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777"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1,581,346</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provision for income taxes varied from the tax computed at the U.S. federal statutory income tax rate for the periods presented primarily due to the Foreign Derived Intangible Income deduction, state taxes, employee compensation limitation, the tax effects of stock-based compensation, and the U.S. research and development tax credit. Our effective tax rate was 25.1% and 23.8% for the three months ended June 30, 2026 and 2025, respectively, and 27.0% and 21.3% for the six months ended June 30, 2026 and 2025, respectively. The increase in the effective tax rate for the three and six months ended June 30, 2026 is due to a decrease of stock-based compensation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apply the provisions for income taxes related to, among other things, accounting for uncertain tax positions and disclosure requirements in accordance with Accounting Standards Classification (ASC) 740, Income Taxes. For the three months ended June 30, 2026, there were no material changes to our uncertain tax positions.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conduct business globally and, as a result, file income tax returns in the U.S. federal jurisdiction and various state and foreign jurisdictions. In the normal course of business, Manhattan is subject to examination by taxing authorities throughout the world. We are no longer subject to U.S. federal, substantially all state and local income tax examinations and substantially all non-U.S. income tax examinations for years before 2015.</w:t>
      </w:r>
    </w:p>
    <w:p>
      <w:pPr>
        <w:pStyle w:val="TextBody"/>
        <w:bidi w:val="0"/>
        <w:jc w:val="left"/>
        <w:rPr>
          <w:rFonts w:ascii="Times New Roman" w:hAnsi="Times New Roman"/>
          <w:color w:val="000000"/>
          <w:sz w:val="20"/>
        </w:rPr>
      </w:pPr>
      <w:r>
        <w:rPr>
          <w:rFonts w:ascii="Times New Roman" w:hAnsi="Times New Roman"/>
          <w:color w:val="000000"/>
          <w:sz w:val="20"/>
        </w:rPr>
        <w:t>On July 4, 2025, the One Big Beautiful Bill Act (“OBBBA”) was enacted into law. The OBBBA allowed an immediate deduction for domestic research and development expenditures, reinstates 100% bonus depreciation, and modifies international tax provisions. The acceleration of the deduction for domestic research and development expenditures reduces our cash taxes owed for 2025 and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Basic and Diluted Net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income per share is computed using net income divided by the weighted average number of shares of common stock outstanding (“Weighted Shares”) for the period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Diluted net income per share is computed using net income divided by Weighted Shares and the treasury stock method effect of common equivalent shares ("CESs") outstanding for each period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following table, we present a reconciliation of earnings per share and the shares used in the computation of earnings per share for the three and six months ended June 30, 2026 and 2025 (in thousands, except per share data):</w:t>
      </w:r>
    </w:p>
    <w:tbl>
      <w:tblPr>
        <w:tblW w:w="9439" w:type="dxa"/>
        <w:jc w:val="left"/>
        <w:tblInd w:w="0" w:type="dxa"/>
        <w:tblLayout w:type="fixed"/>
        <w:tblCellMar>
          <w:top w:w="28" w:type="dxa"/>
          <w:left w:w="28" w:type="dxa"/>
          <w:bottom w:w="28" w:type="dxa"/>
          <w:right w:w="28" w:type="dxa"/>
        </w:tblCellMar>
      </w:tblPr>
      <w:tblGrid>
        <w:gridCol w:w="3226"/>
        <w:gridCol w:w="146"/>
        <w:gridCol w:w="280"/>
        <w:gridCol w:w="899"/>
        <w:gridCol w:w="220"/>
        <w:gridCol w:w="193"/>
        <w:gridCol w:w="280"/>
        <w:gridCol w:w="899"/>
        <w:gridCol w:w="166"/>
        <w:gridCol w:w="146"/>
        <w:gridCol w:w="267"/>
        <w:gridCol w:w="856"/>
        <w:gridCol w:w="210"/>
        <w:gridCol w:w="184"/>
        <w:gridCol w:w="267"/>
        <w:gridCol w:w="989"/>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w:t>
            </w:r>
            <w:r>
              <w:rPr>
                <w:rFonts w:ascii="Times New Roman" w:hAnsi="Times New Roman"/>
                <w:color w:val="000000"/>
                <w:sz w:val="16"/>
              </w:rPr>
              <w:t xml:space="preserve"> </w:t>
            </w:r>
            <w:r>
              <w:rPr>
                <w:rFonts w:ascii="Times New Roman" w:hAnsi="Times New Roman"/>
                <w:b/>
                <w:color w:val="000000"/>
                <w:sz w:val="16"/>
              </w:rPr>
              <w:t>thousands, except per share data)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9"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50,352</w:t>
            </w:r>
          </w:p>
        </w:tc>
        <w:tc>
          <w:tcPr>
            <w:tcW w:w="220"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56,780</w:t>
            </w:r>
          </w:p>
        </w:tc>
        <w:tc>
          <w:tcPr>
            <w:tcW w:w="16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99,647</w:t>
            </w:r>
          </w:p>
        </w:tc>
        <w:tc>
          <w:tcPr>
            <w:tcW w:w="210"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109,362</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9"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0.86</w:t>
            </w:r>
          </w:p>
        </w:tc>
        <w:tc>
          <w:tcPr>
            <w:tcW w:w="22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w:t>
            </w:r>
          </w:p>
        </w:tc>
        <w:tc>
          <w:tcPr>
            <w:tcW w:w="21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9"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0.85</w:t>
            </w:r>
          </w:p>
        </w:tc>
        <w:tc>
          <w:tcPr>
            <w:tcW w:w="220"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w:t>
            </w:r>
          </w:p>
        </w:tc>
        <w:tc>
          <w:tcPr>
            <w:tcW w:w="210"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58,760</w:t>
            </w:r>
          </w:p>
        </w:tc>
        <w:tc>
          <w:tcPr>
            <w:tcW w:w="22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60,612</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59,221</w:t>
            </w:r>
          </w:p>
        </w:tc>
        <w:tc>
          <w:tcPr>
            <w:tcW w:w="21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60,741</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58,997</w:t>
            </w:r>
          </w:p>
        </w:tc>
        <w:tc>
          <w:tcPr>
            <w:tcW w:w="220"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61,074</w:t>
            </w:r>
          </w:p>
        </w:tc>
        <w:tc>
          <w:tcPr>
            <w:tcW w:w="16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59,515</w:t>
            </w:r>
          </w:p>
        </w:tc>
        <w:tc>
          <w:tcPr>
            <w:tcW w:w="210"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61,300</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anti-dilutive CESs during the three and six months ended June 30, 2026 and 2025 was immaterial.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are involved in litigation relating to claims arising out of the ordinary course of business, and occasionally legal proceedings not in the ordinary course.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software products and services are critical to our customers’ business operations. Failures could result in claims against us for substantial damages, regardless of our level of responsibility for those failures. We attempt to limit contractually our liability for damages arising from product or service failures or our negligent acts or omissions, but there can be no absolute assurance that those limitations will be enforceable.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litigation and other legal proceeding outcomes are difficult to predict, we do not believe we are a party to any legal proceeding the result of which is likely to have a material adverse impact on our business, financial position, results of operations, or cash flows. We expense legal costs associated with loss contingencies as we incur them. We record insurance recoveries when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other proceedings, we are currently party to the lawsuits described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25, 2025, an alleged Company shareholder filed a putative class action lawsuit, Prime v. Manhattan Associates, Inc., et al., No. 1:25-cv-00992-TRJ (N.D. Ga.), in the United States District Court for the Northern District of Georgia against the Company and certain of our current and former officers (the “Prime Action”). The complaint in the Prime Action alleged violations of Sections 10(b) and 20(a) of the Securities Exchange Act of 1934, as amended (the “Exchange Act”), and Rule 10b-5 promulgated under that act, based on purported materially false and misleading statements and omissions allegedly made by the defendants (the Company and named current and former officers) between October 22, 2024, and January 28, 2025. The complaint in the Prime Action sought class certification, unspecified monetary damages, and costs and attorneys’ fees. On April 15, 2025, another alleged Company shareholder filed a putative class action lawsuit, City of Orlando Police Officers’ Pension Fund v. Manhattan Associates, Inc., et al., No. 1:25-cv-02089-TRJ (N.D. Ga.), in the United States District Court for the Northern District of Georgia against the Company and certain of our current and former officers (the “City of Orlando Action”). The complaint in the City of Orlando Action alleged violations of Sections 10(b) and 20(a) of the Exchange Act and Rule 10b-5 based on purported materially false and misleading statements and omissions allegedly made by the defendants between July 24, 2024, and February 7, 2025. The factual allegations underlying the claims in the City of Orlando Action were similar to the factual allegations made in the Prime Action. The complaint in the City of Orlando Action sought class certification, unspecified monetary damages, and costs and attorneys’ fees. On May 2, 2025, the Court consolidated the two actions (the “Consolidated Action”), and on May 23, 2025, the Court appointed the plaintiffs in the City of Orlando Action as the lead plaintiffs in the Consolidated Action. On July 22, 2025, the lead plaintiffs filed their Amended Complaint, in which the securities law violations alleged are the same as those alleged in the original actions and the proposed class period is the same as in the City of Orlando action. The defendants deny the material allegations in the Consolidated Action, which is still in the early stages and has not yet been certified as a class action, and intend to defend themselves vigorously. The defendants filed a motion to dismiss the Consolidated Action on September 22, 2025, and the parties presented oral arguments on the motion on April 9, 2026. The Company maintains insurance that may cover defendants’ liability arising out of this litigation up to the policy limits and subject to meeting certain deductibles and to other terms and conditions. We are unable to predict the ultimate timing or outcome of, or reasonably estimate the possible losses or a range of possible losses resulting from, these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22, 2025, a purported Company shareholder, Patrick Ayers, filed a shareholder derivative lawsuit, Ayers v. Capel, et al., No. 1:25-cv-05416-TRJ, in the United States District Court for the Northern District of Georgia (the “Ayers Action”). The Ayers Action names certain of the Company’s current and former officers and directors as defendants. The allegations in the Ayers Action overlap substantially with the allegations in the above-referenced Consolidated Action. The Ayers Action assert claims for alleged violations of the federal securities laws, breach of fiduciary duty, waste, and unjust enrichment. On October 14, 2025, the Court entered an order staying the Ayers Action pending resolution of the motion to dismiss in the Consolidated Action. We are unable to predict the ultimate timing or outcome of, or reasonably estimate the possible losses or a range of possible losses resulting from, these proceedings.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Reportable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manage our business by geographic segment and have three geographic reportable segments: the Americas (North, Latin and South America); Europe, the Middle East, and Africa (EMEA); and Asia Pacific (APAC). All segments derive revenue from the sale and implementation of our supply chain commerce solutions. We primarily operate in the Americas operating segment because most of the Company's service offerings operate on the Manhattan platform and are deployed and sold in a nearly identical manner. The individual products sold by the segments are similar in nature and are all designed to help companies manage the effectiveness and efficiency of their supply chain commerce. We use the same accounting policies for each reportable segment. The chief operating decision maker (Chief Executive Officer) reviews the variances in each reportable segment’s operating income compared to prior periods and to budget on a monthly basis to evaluate performance and allocate resources (including employees, financial or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Americas segment charges royalty fees to the other segments based on cloud subscriptions and software licenses sold by those reportable segments. The royalties, which totaled approximately $7.4 million and $6.0 million for both the three months ended June 30, 2026 and 2025, respectively, and $14.4 million and $12.9 million for the six months ended June 30, 2026 and 2025, respectively, are included in costs of revenue for each segment with a corresponding reduction in the Americas segment’s cost of revenue. The revenues represented below are from external customers only. The geography-based costs consist of costs for professional services personnel, direct sales and marketing expenses, infrastructure costs to support the employee and customer base, billing and financial systems, management and general and administrative support. There are certain corporate expenses included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Americas segment that we do not charge to the other segments. Such expenses include research and development, stock compensation, certain marketing and general and administrative costs that support the global organization, and the amortization of acquired developed technology. Costs in the Americas’ segment include all research and development costs including the costs associated with our operations in India.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accordance with segment reporting topic of the FASB Codification, we present below certain financial information by reportable segment for the three and six months ended June 30, 2026 and 2025 (in thousands):</w:t>
      </w:r>
    </w:p>
    <w:tbl>
      <w:tblPr>
        <w:tblW w:w="10434" w:type="dxa"/>
        <w:jc w:val="left"/>
        <w:tblInd w:w="0" w:type="dxa"/>
        <w:tblLayout w:type="fixed"/>
        <w:tblCellMar>
          <w:top w:w="28" w:type="dxa"/>
          <w:left w:w="28" w:type="dxa"/>
          <w:bottom w:w="28" w:type="dxa"/>
          <w:right w:w="28" w:type="dxa"/>
        </w:tblCellMar>
      </w:tblPr>
      <w:tblGrid>
        <w:gridCol w:w="1281"/>
        <w:gridCol w:w="196"/>
        <w:gridCol w:w="691"/>
        <w:gridCol w:w="146"/>
        <w:gridCol w:w="196"/>
        <w:gridCol w:w="691"/>
        <w:gridCol w:w="146"/>
        <w:gridCol w:w="196"/>
        <w:gridCol w:w="601"/>
        <w:gridCol w:w="146"/>
        <w:gridCol w:w="248"/>
        <w:gridCol w:w="878"/>
        <w:gridCol w:w="146"/>
        <w:gridCol w:w="146"/>
        <w:gridCol w:w="196"/>
        <w:gridCol w:w="691"/>
        <w:gridCol w:w="146"/>
        <w:gridCol w:w="196"/>
        <w:gridCol w:w="691"/>
        <w:gridCol w:w="146"/>
        <w:gridCol w:w="196"/>
        <w:gridCol w:w="601"/>
        <w:gridCol w:w="146"/>
        <w:gridCol w:w="248"/>
        <w:gridCol w:w="878"/>
        <w:gridCol w:w="591"/>
      </w:tblGrid>
      <w:tr>
        <w:trPr/>
        <w:tc>
          <w:tcPr>
            <w:tcW w:w="1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EMEA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APAC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EMEA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APAC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Cloud subscriptions</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97,573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24,321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4,828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126,722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77,281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19,675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100,422</w:t>
            </w:r>
          </w:p>
        </w:tc>
        <w:tc>
          <w:tcPr>
            <w:tcW w:w="5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Software license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Maintenance</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23,790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4,695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2,038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30,523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27,786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35,057</w:t>
            </w:r>
          </w:p>
        </w:tc>
        <w:tc>
          <w:tcPr>
            <w:tcW w:w="5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133,047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Hardware</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5,363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135</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5,579</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6,464</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6,515</w:t>
            </w:r>
          </w:p>
        </w:tc>
        <w:tc>
          <w:tcPr>
            <w:tcW w:w="591"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Total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227,012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297,794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272,421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Costs and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revenue</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93,939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28,804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6,720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129,463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83,745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116,215</w:t>
            </w:r>
          </w:p>
        </w:tc>
        <w:tc>
          <w:tcPr>
            <w:tcW w:w="5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1,361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1,632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w:t>
            </w:r>
          </w:p>
        </w:tc>
        <w:tc>
          <w:tcPr>
            <w:tcW w:w="5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expense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costs and expenses</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185,676</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37,256</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8,631</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231,563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158,555</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32,494</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7,584</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198,633</w:t>
            </w:r>
          </w:p>
        </w:tc>
        <w:tc>
          <w:tcPr>
            <w:tcW w:w="5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73,788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5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(loss), net</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67,214</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74,503</w:t>
            </w:r>
          </w:p>
        </w:tc>
        <w:tc>
          <w:tcPr>
            <w:tcW w:w="59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EMEA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APAC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EMEA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APAC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Cloud subscriptions</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187,138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47,285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9,422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243,845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151,392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36,882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194,728</w:t>
            </w:r>
          </w:p>
        </w:tc>
        <w:tc>
          <w:tcPr>
            <w:tcW w:w="5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Software license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Maintenance</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47,641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9,266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4,208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61,115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53,701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67,201</w:t>
            </w:r>
          </w:p>
        </w:tc>
        <w:tc>
          <w:tcPr>
            <w:tcW w:w="5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192,397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258,764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Hardware</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11,389</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646</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12,128</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12,106</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12,433</w:t>
            </w:r>
          </w:p>
        </w:tc>
        <w:tc>
          <w:tcPr>
            <w:tcW w:w="591"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Total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441,562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580,009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535,208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Costs and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revenue</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186,890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56,128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13,086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256,104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166,547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52,343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230,782</w:t>
            </w:r>
          </w:p>
        </w:tc>
        <w:tc>
          <w:tcPr>
            <w:tcW w:w="5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165,748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2,946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3,465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w:t>
            </w:r>
          </w:p>
        </w:tc>
        <w:tc>
          <w:tcPr>
            <w:tcW w:w="5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expense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costs and expenses</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361,221</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71,249</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16,371</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448,841</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319,308</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64,333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14,607</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398,248</w:t>
            </w:r>
          </w:p>
        </w:tc>
        <w:tc>
          <w:tcPr>
            <w:tcW w:w="5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80,341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37,792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131,168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136,960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1,704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w:t>
            </w:r>
          </w:p>
        </w:tc>
        <w:tc>
          <w:tcPr>
            <w:tcW w:w="59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(loss), net</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136,488</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139,012</w:t>
            </w:r>
          </w:p>
        </w:tc>
        <w:tc>
          <w:tcPr>
            <w:tcW w:w="59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In the following table, we present goodwill, long-lived assets, and total assets by reportable segment as of June 30, 2026 and December 31, 2025 (in thousands): </w:t>
      </w:r>
    </w:p>
    <w:tbl>
      <w:tblPr>
        <w:tblW w:w="11486" w:type="dxa"/>
        <w:jc w:val="left"/>
        <w:tblInd w:w="0" w:type="dxa"/>
        <w:tblLayout w:type="fixed"/>
        <w:tblCellMar>
          <w:top w:w="28" w:type="dxa"/>
          <w:left w:w="28" w:type="dxa"/>
          <w:bottom w:w="28" w:type="dxa"/>
          <w:right w:w="28" w:type="dxa"/>
        </w:tblCellMar>
      </w:tblPr>
      <w:tblGrid>
        <w:gridCol w:w="931"/>
        <w:gridCol w:w="146"/>
        <w:gridCol w:w="211"/>
        <w:gridCol w:w="781"/>
        <w:gridCol w:w="146"/>
        <w:gridCol w:w="146"/>
        <w:gridCol w:w="211"/>
        <w:gridCol w:w="781"/>
        <w:gridCol w:w="146"/>
        <w:gridCol w:w="146"/>
        <w:gridCol w:w="211"/>
        <w:gridCol w:w="676"/>
        <w:gridCol w:w="146"/>
        <w:gridCol w:w="146"/>
        <w:gridCol w:w="258"/>
        <w:gridCol w:w="958"/>
        <w:gridCol w:w="146"/>
        <w:gridCol w:w="146"/>
        <w:gridCol w:w="211"/>
        <w:gridCol w:w="781"/>
        <w:gridCol w:w="146"/>
        <w:gridCol w:w="146"/>
        <w:gridCol w:w="211"/>
        <w:gridCol w:w="781"/>
        <w:gridCol w:w="146"/>
        <w:gridCol w:w="146"/>
        <w:gridCol w:w="211"/>
        <w:gridCol w:w="676"/>
        <w:gridCol w:w="146"/>
        <w:gridCol w:w="146"/>
        <w:gridCol w:w="258"/>
        <w:gridCol w:w="958"/>
        <w:gridCol w:w="191"/>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EMEA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APAC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EMEA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APAC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3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54,766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62,240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54,766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62,244</w:t>
            </w:r>
          </w:p>
        </w:tc>
        <w:tc>
          <w:tcPr>
            <w:tcW w:w="19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538,669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132,216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27,761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698,646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696,019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839,388</w:t>
            </w:r>
          </w:p>
        </w:tc>
        <w:tc>
          <w:tcPr>
            <w:tcW w:w="19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derived revenue from sales to customers outside the United States of approximately $102.0 million and $91.5 million for the three months ended June 30, 2026 and 2025, respectively, and approximately $198.9 million and $183.0 million for the six months ended June 30, 2026 and 2025, respectively. Our remaining revenue was derived from domestic sales.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Cloud subscriptions revenue primarily relates to our Manhattan Active omnichannel, warehouse management solutions, and transportation management solutions for the six months ended June 30, 2026. The majority of our software license revenue (over 70% and over 80%) relates to our warehouse management product group for the three and six months ended June 30, 2026,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 Restructuring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 2026, the Company reduced its global headcount by approximately 6%, leveraging increased operational efficiencies and allowing the Company to focus investments on key strategic priorities. The Company recorded restructuring expense of approximately $8.3 million pretax ($6.2 million after-tax or $0.10 per fully diluted share) in the six months ended June 30, 2026. The expense primarily consists of employee severance and outplacement services. The expense is classified in “Restructuring expense” in the Company’s Consolidated Statements of Income for the six months ended June 30, 2026.</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activity in the restructuring accrual for the six months ended June 30, 2026 (in thousands):</w:t>
      </w:r>
    </w:p>
    <w:tbl>
      <w:tblPr>
        <w:tblW w:w="8976" w:type="dxa"/>
        <w:jc w:val="left"/>
        <w:tblInd w:w="0" w:type="dxa"/>
        <w:tblLayout w:type="fixed"/>
        <w:tblCellMar>
          <w:top w:w="28" w:type="dxa"/>
          <w:left w:w="28" w:type="dxa"/>
          <w:bottom w:w="28" w:type="dxa"/>
          <w:right w:w="28" w:type="dxa"/>
        </w:tblCellMar>
      </w:tblPr>
      <w:tblGrid>
        <w:gridCol w:w="4116"/>
        <w:gridCol w:w="146"/>
        <w:gridCol w:w="211"/>
        <w:gridCol w:w="631"/>
        <w:gridCol w:w="166"/>
        <w:gridCol w:w="146"/>
        <w:gridCol w:w="211"/>
        <w:gridCol w:w="571"/>
        <w:gridCol w:w="166"/>
        <w:gridCol w:w="146"/>
        <w:gridCol w:w="211"/>
        <w:gridCol w:w="481"/>
        <w:gridCol w:w="166"/>
        <w:gridCol w:w="146"/>
        <w:gridCol w:w="263"/>
        <w:gridCol w:w="788"/>
        <w:gridCol w:w="41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Americas</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EMEA</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APAC</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16"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5,637</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2,346</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8,263</w:t>
            </w:r>
          </w:p>
        </w:tc>
        <w:tc>
          <w:tcPr>
            <w:tcW w:w="41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4116"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accrual balance at June 30, 2026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2,322</w:t>
            </w:r>
          </w:p>
        </w:tc>
        <w:tc>
          <w:tcPr>
            <w:tcW w:w="16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1,657</w:t>
            </w:r>
          </w:p>
        </w:tc>
        <w:tc>
          <w:tcPr>
            <w:tcW w:w="16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w:t>
            </w:r>
          </w:p>
        </w:tc>
        <w:tc>
          <w:tcPr>
            <w:tcW w:w="16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4,037</w:t>
            </w:r>
          </w:p>
        </w:tc>
        <w:tc>
          <w:tcPr>
            <w:tcW w:w="4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balance at June 30, 2026 is included in “Accrued compensation and benefits” in the Company’s Condensed Consolidated Balance Sheets. The remaining balance is expected to be paid during the remainder of 2026.</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2_mda"/>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should be read in conjunction with the condensed consolidated financial statements for the three and six months ended June 30, 2026 and 2025, including the notes to those statements, included elsewhere in this quarterly report. We also recommend the following discussion be read in conjunction with management’s discussion and analysis and consolidated financial statements included in our annual report on Form 10-K for the year ended December 31, 2025. Statements in the following discussion that are not statements of historical fact are “forward-looking statements.” Actual results may differ materially from the results predicted in such forward-looking statements, for a variety of factors. See “Forward-Looking Statements”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References in this filing to the “Company,” “Manhattan,” “Manhattan Associates,” “we,” “our,” and “us” refer to Manhattan Associates, Inc., our predecessors, and our wholly owned and consolidated subsidiaries.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develop, sell, deploy, service and maintain software solutions designed to manage supply chains, inventory, and omnichannel operations for retailers, wholesalers, manufacturers, logistics providers, government agencies, and other organizations. Our customers include many of the world’s premier and most profitable brands. Our proprietary applications architecture is highly differentiated among enterprise application providers, particularly within the Omni Channel and Supply Chain categories, through which we deliver a versionless yet highly extensible experience for our customers. With AI-driven insights and zero downtime updates, we deliver innovation seamlessly into customer environments without the need for planned maintenance windows.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model is singularly focused on the development and implementation of complex commerce enablement software solutions that are designed to optimize supply chains, and retail store operations including point-of-sale (POS) effectiveness and efficiency for our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five principal sources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cloud subscriptions, including software as a service (SaaS) and hosting of software;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licenses of our software;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 support services and software enhancements (collectively, “maintenance”) related to software 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professional services, including solutions planning and implementation, related consulting, customer training, and reimbursements from customers for out-of-pocket expenses (collectively, “services”);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hardware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three and six months ended June 30, 2026, we generated $297.8 million and $580.0 million in total revenue. The revenue mix for the three and six months ended June 30, 2026 was: cloud subscriptions 42%; software license 1%; maintenance 10%; services 45%; and hardware 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three geographic reportable segments: North, Latin, and South America (the “Americas”), Europe, the Middle East, and Africa (EMEA), and Asia-Pacific (APAC). Geographic revenue is based on the location of the sale. Our international revenue was approximately $102.1 million and $198.9 million for the three and six months ended June 30, 2026, which represents approximately 34% of our total revenue for both the three and six months ended June 30, 2026. International revenue includes all revenue derived from sales to customers outside the United States. At June 30, 2026, we employed approximately 4,100 employees worldwide. We have offices in Australia, Chile, China, France, Germany, India, Italy, Japan, the Netherlands, Singapore, Spain, the United Kingdom, and the United States, as well as representatives in Mexico and reseller partnerships in Latin America, Eastern Europe, the Middle East, South Africa, and Asia.</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Future Expectations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remain cautious about the global economy, including with respect to macroeconomic uncertainty and global instability resulting from the military conflict involving the United States, Israel, and Iran and the ongoing war between Russia and Ukraine, our results for the first six months of 2026 exceeded our expectations due to solid demand for our cloud solutions. Our solutions are mission critical, supporting complex global supply chains. We believe that favorable secular tailwinds, such as the digital transformation of businesses in manufacturing, wholesale, and retail, coupled with our commitment to investing in organic innovation to deliver leading cloud supply chain, inventory, and omnichannel commerce solutions is in synergistic alignment with current market demand. We believe this alignment is contributing to our strong financial results, higher demand, and strong win rates for our solutions for the period. We remain committed to investing in our business to drive customer success and expand our total addressable market, which we believe will position us well to achieve long-term sustainable growth and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Going forward, we are investing in our cloud business, including enterprise investments in innovation, and strategic operating expenses to support growth objectives.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remainder of 2026, our five strategic goals remain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Focus on customer success and drive sustainable long-term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in innovation to expand our products and total addressable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Manhattan Active suite of cloud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grow our cloud business and cloud subscription revenue;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global sales and marketing teams.</w:t>
      </w:r>
    </w:p>
    <w:p>
      <w:pPr>
        <w:pStyle w:val="TextBody"/>
        <w:bidi w:val="0"/>
        <w:jc w:val="left"/>
        <w:rPr/>
      </w:pPr>
      <w:r>
        <w:rPr/>
        <w:t>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Cloud Subscription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our Manhattan Active® Solutions cloud subscription offering, customers pay a periodic fee for the right to use our software within a cloud environment that we provide and manage over a specified period of time. Demand for our Manhattan Active® cloud solutions continues to grow nicely, with cloud revenue up 26% over the same quarter in the prior year. Cloud revenue represents about 98% of our total software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Customers on our legacy perpetual license program can convert their maintenance contracts to cloud subscription contracts.</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Global Economic Trends and Industry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macro-economic trends, technology spending, and supply chain management market growth are important barometers for our business. In the three and six months ended June 30, 2026, approximately 66% of our total revenue was generated in the United States, 19% in EMEA, and the remaining balance in APAC, Canada, and Latin America. In addition, Gartner Inc. (“Gartner”), an information technology research and advisory company, estimates that approximately 80% of every supply chain software solutions dollar invested is spent in North America and Europe; consequently, the health of the U.S. and the European economies have a meaningful impact on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sell technology-based solutions with total pricing, including software and services, in many cases exceeding $1.0 million. Our software is often a part of our customers’ and prospects’ much larger capital commitment associated with facilities expansion and business improvement. We believe that, given the mission critical nature of our software, combined with a challenging global macro environment, our current sales cycles for large cloud subscriptions in our target markets could be extended. While demand for our solutions is solid, the current business climate within the United States and geographic regions in which we operate may affect customers’ and prospects’ decisions regarding timing of strategic capital expenditures.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are encouraged by our results, we remain cautious regarding the pace of global economic growth. We believe global geopolitical and economic volatility likely will continue to shape customers’ and prospects’ enterprise software buying decisions.</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Key Performance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regularly review metrics to evaluate our business, measure our performance, identify trends affecting our business, formulate financial projections and make strategic decisions. We believe cloud subscriptions revenue growth and remaining performance obligation (RPO) growth are the leading indicators of our business performance, primarily derived from cloud subscription fees that customers pay for our Unified Omnichannel Commerce and Digital Supply Chain solutions.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Cloud Subscriptions Revenue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cloud revenue growth provides insight into our ability to maintain and grow our cloud customer base. Total cloud revenue increased to $243.8 million in the six months ended June 30, 2026 from $194.7 million for the same period in the prior year, representing a 25% year-over-year increase. Cloud revenue growth is being driven by strong demand for our cloud offerings.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Remaining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price allocated to RPO represents contracted revenue that has not yet been recognized, which includes deferred revenue and non-cancelable amounts that we expect to invoice and recognize as revenue in future periods. Over 99% of our RPO represent cloud native subscriptions with a non-cancelable term greater than one year. Maintenance contracts typically are for one year and are not included in RPO. RPO provides insight into our contracted backlog of future business. As of June 30, 2026, our RPO was approximately $2.5 billion, an increase of 23% over June 30, 2025 on strong demand.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Revenue</w:t>
      </w:r>
    </w:p>
    <w:p>
      <w:pPr>
        <w:pStyle w:val="TextBody"/>
        <w:bidi w:val="0"/>
        <w:spacing w:before="120" w:after="283"/>
        <w:jc w:val="left"/>
        <w:rPr>
          <w:rFonts w:ascii="Times New Roman" w:hAnsi="Times New Roman"/>
          <w:sz w:val="20"/>
        </w:rPr>
      </w:pPr>
      <w:r>
        <w:rPr>
          <w:rFonts w:ascii="Times New Roman" w:hAnsi="Times New Roman"/>
          <w:b/>
          <w:i/>
          <w:color w:val="000000"/>
          <w:sz w:val="20"/>
        </w:rPr>
        <w:t>Cloud Subscriptions and Software License Revenue.</w:t>
      </w:r>
      <w:r>
        <w:rPr>
          <w:rFonts w:ascii="Times New Roman" w:hAnsi="Times New Roman"/>
          <w:color w:val="000000"/>
          <w:sz w:val="20"/>
        </w:rPr>
        <w:t xml:space="preserve"> In the three months ended June 30, 2026, cloud subscriptions revenue totaled $126.7 million or 42% of total revenues. The Americas, EMEA, and APAC segments recognized $97.6 million, $24.3 million, and $4.8 million in cloud subscriptions revenue, respectively, in the three months ended June 30, 2026. In the six months ended June 30, 2026, cloud subscriptions revenue totaled $243.8 million or 42% of total revenues. The Americas, EMEA, and APAC segments recognized $187.1 million, $47.3 million, and $9.4 million in cloud subscriptions revenue, respectively, in the six months ended June 30, 2026. Cloud subscriptions revenue is recognized over the term of the agreement, typically five years or more. Cloud subscription revenue growth is influenced by the strength of general economic and business conditions and the competitive position of our software products. These revenues generally have long sales cycles. During the three and six months ended June 30, 2026, approximately 25% and 40%, respectively, of the total value of new non-cancelable cloud subscriptions (excluding renewals) signed was with new customers, and 75% and 60%, respectively, was with existing customers. We define new customers as entities from which we either have never earned revenue or have not recognized revenue in the last five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three months ended June 30, 2026, license revenue totaled $2.0 million, or 1% of total revenue. The Americas, EMEA, and APAC segments totaled $1.2 million, $0.6 million, and $0.2 million in license revenue, respectively, in the three months ended June 30, 2026. In the six months ended June 30, 2026, license revenue totaled $4.2 million, or 1% of total revenue. The Americas, EMEA, and APAC segments totaled $3.0 million, $0.8 million, and $0.4 million in license revenue, respectively, in the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Unified Omnichannel Commerce and Digital Supply Chain solutions are focused on core omnichannel operation (e-commerce, retail store operations and POS), supply chain commerce operations (Warehouse Management, Transportation Management, and Labor Management), and demand forecasting and replenishment, which are intensely competitive markets characterized by rapid technological change. We are a market leader in the supply chain management and omnichannel software solutions market as defined by industry analysts such as ARC Advisory Group and Gartner. Our goal is to extend our position as a leading global supply chain solutions provider by growing our cloud subscriptions revenues faster than our competitors through investment in innovation.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Maintenance Revenue. </w:t>
      </w:r>
      <w:r>
        <w:rPr>
          <w:rFonts w:ascii="Times New Roman" w:hAnsi="Times New Roman"/>
          <w:color w:val="000000"/>
          <w:sz w:val="20"/>
        </w:rPr>
        <w:t xml:space="preserve">Our maintenance revenue for the three months ended June 30, 2026 totaled $30.5 million, or 10% of total revenue. The Americas, EMEA and APAC segments recognized $23.8 million, $4.7 million, and $2.0 million, respectively, in maintenance revenue in the three months ended June 30, 2026. In the six months ended June 30, 2026, maintenance revenue totaled $61.1 million, or 10% of total revenue. The Americas, EMEA, and APAC segments totaled $47.6 million, $9.3 million, and $4.2 million in maintenance revenue, respectively, in the six months ended June 30, 2026. For maintenance, we offer a comprehensive 24 hours per day, 365 days per year program that provides our customers with software upgrades, when and if available, which include additional or improved functionality and technological advances incorporating emerging supply chain and industry initiatives.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Maintenance relates to our legacy perpetual license sales. We expect maintenance revenues to decline as we continue to develop our cloud offerings, and be offset by additional cloud revenue, including from customers converting their maintenance contracts to cloud subscriptions. The growth of maintenance revenues is influenced by: (1) new software license contracts; (2) annual renewal of support contracts; and (3) fluctuations in currency rates. Substantially all of our customers renew their annual support contracts or convert their maintenance contracts to cloud subscriptions. Maintenance revenue is generally paid in advance and recognized over the term of the agreement, typically twelve months. Maintenance renewal revenue is recognized over the renewal period once we have a contract upon payment from the customer. </w:t>
      </w:r>
    </w:p>
    <w:p>
      <w:pPr>
        <w:pStyle w:val="TextBody"/>
        <w:bidi w:val="0"/>
        <w:spacing w:before="240" w:after="283"/>
        <w:jc w:val="left"/>
        <w:rPr>
          <w:rFonts w:ascii="Times New Roman" w:hAnsi="Times New Roman"/>
          <w:sz w:val="20"/>
        </w:rPr>
      </w:pPr>
      <w:r>
        <w:rPr>
          <w:rFonts w:ascii="Times New Roman" w:hAnsi="Times New Roman"/>
          <w:b/>
          <w:i/>
          <w:color w:val="000000"/>
          <w:sz w:val="20"/>
        </w:rPr>
        <w:t>Services Revenue.</w:t>
      </w:r>
      <w:r>
        <w:rPr>
          <w:rFonts w:ascii="Times New Roman" w:hAnsi="Times New Roman"/>
          <w:color w:val="000000"/>
          <w:sz w:val="20"/>
        </w:rPr>
        <w:t xml:space="preserve"> In the three months ended June 30, 2026, our services revenue totaled $133.1 million, or 45% of total revenue. The Americas, EMEA, and APAC segments recognized $99.1 million, $25.7 million, and $8.3 million, respectively, in services revenue in the three months ended June 30, 2026. In the six months ended June 30, 2026, services revenue totaled $258.8 million, or 45% of total revenue. The Americas, EMEA, and APAC segments totaled $192.4 million, $51.1 million, and $15.3 million in services revenue, respectively, in the six months ended June 30, 2026.</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professional services organization provides our customers with expertise and assistance in planning and implementing our solutions. To ensure a successful product implementation, consultants assist customers with the initial implementation of a system or service, the conversion and transfer of the customer’s historical data to the new system or service, and ongoing training, education, and system/service upgrades. We believe our professional services enable customers to implement our software rapidly, ensure the customer’s success with our solutions, strengthen our customer relationships, and add to our industry-specific knowledge base for use in future implementations and product innovations.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our professional services are optional, the majority of our customers use at least some portion of these services for their planning, implementation, ongoing support, training, system upgrades or related needs. Professional services are typically rendered under time and materials-based contracts with services typically billed on an hourly basis. Professional services are sometimes rendered under fixed-fee based contracts with payments due on specific dates or milestones.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revenue growth is contingent upon cloud sales and customer upgrade cycles, which are influenced by the strength of general economic and business conditions and the competitive position of our software products. In addition, our professional services business has competitive exposure to offshore providers and other consulting companies.</w:t>
      </w:r>
    </w:p>
    <w:p>
      <w:pPr>
        <w:pStyle w:val="TextBody"/>
        <w:bidi w:val="0"/>
        <w:spacing w:before="240" w:after="283"/>
        <w:jc w:val="left"/>
        <w:rPr>
          <w:rFonts w:ascii="Times New Roman" w:hAnsi="Times New Roman"/>
          <w:sz w:val="20"/>
        </w:rPr>
      </w:pPr>
      <w:r>
        <w:rPr>
          <w:rFonts w:ascii="Times New Roman" w:hAnsi="Times New Roman"/>
          <w:b/>
          <w:i/>
          <w:color w:val="000000"/>
          <w:sz w:val="20"/>
        </w:rPr>
        <w:t>Hardware Revenue.</w:t>
      </w:r>
      <w:r>
        <w:rPr>
          <w:rFonts w:ascii="Times New Roman" w:hAnsi="Times New Roman"/>
          <w:color w:val="000000"/>
          <w:sz w:val="20"/>
        </w:rPr>
        <w:t xml:space="preserve"> Our hardware revenue, which we recognize net of related costs, totaled $5.6 million in the three months ended June 30, 2026 representing 2% of total revenue. For the six months ended June 30, 2026, hardware revenue totaled $12.1 million, or 2% of total revenue. As a convenience for our cloud and perpetual license customers, we resell a variety of hardware products developed and manufactured by third parties. These products include computer hardware, radio frequency terminal networks, RFID chip readers, bar code printers and scanners, and other peripherals. We resell all third-party hardware products and related maintenance pursuant to agreements with manufacturers or through distributor-authorized reseller agreements pursuant to which we are entitled to purchase hardware products and services at discount prices. We purchase hardware from our vendors only after receiving an order from a customer. As a result, we do not maintain hardware inventory.</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Product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 to invest significantly in research and development (R&amp;D) to provide leading Unified Omnichannel Commerce and Digital Supply Chain solutions to enable global retailers, manufacturers, wholesalers, distributors, and logistics providers to successfully manage accelerating and fluctuating demands as well as the increasing complexity and volatility of their local and global supply chains, retail store operations, and POS. Our R&amp;D expenses were $34.8 million and $72.1 million for the three and six months ended June 30, 2026,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focus our R&amp;D resources on the development and enhancement of our core supply chain planning, supply chain execution, order management and store software solutions. We offer what we believe to be the broadest solutions portfolio in the supply chain solutions marketplace, addressing all aspects of demand forecasting and replenishment, transportation management, distribution management, and omnichannel operations including order management, store inventory &amp; fulfillment, call center, and POS.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invest in artificial intelligence (AI) technology to enhance our functional offerings on our Manhattan Active Platform, with a recent emphasis on agentic AI advancements. Our AI capabilities are seamlessly embedded within all supply chain execution, planning, and commerce applications, aimed at delivering real-time optimization and value creation. We plan to further expand our investments in generative AI, including leveraging third-party large language models to unlock value in a broader range of use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plan to continue to enhance our existing solutions and to introduce new solutions to address evolving industry standards and market needs. We identify opportunities to further enhance our solutions and to develop and provide new solutions through our customer support organization, as well as through ongoing customer consulting engagements and implementations, interactions with our user groups, association with leading industry analysts and market research firms, and participation in industry standards and research committees. Our solutions address the needs of customers in various vertical markets, including retail, consumer goods, food and grocery, logistics service providers, industrial and wholesale, high technology and electronics, life sciences, and government.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Cash Flow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we generated cash flow from operating activities of $90.7 million and $174.7 million. Our cash and cash equivalents at June 30, 2026 totaled $186.1 million, with no debt. We currently have no credit facilities. Our primary uses of cash have been for funding investments in R&amp;D as well as sales and marketing in our Unified Omnichannel Commerce and Digital Supply Chain solutions to drive revenue and earnings growth. In addition, during the six months ended June 30, 2026, we repurchased approximately $275.0 million of Manhattan Associates’ outstanding common stock under the share repurchase program approved by our Board of Directors. In March 2026, our Board of Directors approved an increase to the Company’s share repurchase authority from $100 million to $500 million. As of the end of the quarter, approximately $225.0 million remained under the existing March 2026 repurchase authority.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remainder of 2026, we expect our first priority for use of cash will continue to be investments in our Unified Omnichannel Commerce, Digital Supply Chain, and Manhattan Active® Agents solutions. We also expect to prioritize capital allocation in our global teams to fund growth and share repurchases. We do not anticipate any borrowing requirements in 2026 for general corporate purposes.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following table, we present a summary of our consolidated results for the three and six months ended June 30, 2026 and 2025.</w:t>
      </w:r>
    </w:p>
    <w:tbl>
      <w:tblPr>
        <w:tblW w:w="8797" w:type="dxa"/>
        <w:jc w:val="left"/>
        <w:tblInd w:w="0" w:type="dxa"/>
        <w:tblLayout w:type="fixed"/>
        <w:tblCellMar>
          <w:top w:w="28" w:type="dxa"/>
          <w:left w:w="28" w:type="dxa"/>
          <w:bottom w:w="28" w:type="dxa"/>
          <w:right w:w="28" w:type="dxa"/>
        </w:tblCellMar>
      </w:tblPr>
      <w:tblGrid>
        <w:gridCol w:w="3616"/>
        <w:gridCol w:w="146"/>
        <w:gridCol w:w="211"/>
        <w:gridCol w:w="781"/>
        <w:gridCol w:w="146"/>
        <w:gridCol w:w="146"/>
        <w:gridCol w:w="211"/>
        <w:gridCol w:w="781"/>
        <w:gridCol w:w="146"/>
        <w:gridCol w:w="146"/>
        <w:gridCol w:w="211"/>
        <w:gridCol w:w="781"/>
        <w:gridCol w:w="146"/>
        <w:gridCol w:w="146"/>
        <w:gridCol w:w="211"/>
        <w:gridCol w:w="781"/>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297,794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272,421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580,009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535,208</w:t>
            </w:r>
          </w:p>
        </w:tc>
        <w:tc>
          <w:tcPr>
            <w:tcW w:w="19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66,231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131,168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136,960</w:t>
            </w:r>
          </w:p>
        </w:tc>
        <w:tc>
          <w:tcPr>
            <w:tcW w:w="19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67,214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74,503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136,488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139,012</w:t>
            </w:r>
          </w:p>
        </w:tc>
        <w:tc>
          <w:tcPr>
            <w:tcW w:w="19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0.85</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9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59,515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We have three geographic reportable segments: the Americas, EMEA, and APAC. Geographic revenue information is based on the location of sale. The revenues represented below are from external customers only. The geography-based expenses include costs of personnel, direct sales, marketing expenses, and general and administrative costs to support the business. There are certain corporate expenses included in the Americas segment that we do not charge to the other segments, including R&amp;D, stock compensation, certain marketing and general and administrative costs that support the global organization, and the amortization of acquired developed technology. Included in the Americas costs are all R&amp;D costs, including the costs associated with our operations in India. During the three and six months ended June 30, 2026 and 2025, we derived the majority of our revenues from sales to customers within our Americas segment. In the following table, we present a summary of revenue and operating income by segment: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7"/>
        <w:gridCol w:w="146"/>
        <w:gridCol w:w="211"/>
        <w:gridCol w:w="781"/>
        <w:gridCol w:w="146"/>
        <w:gridCol w:w="146"/>
        <w:gridCol w:w="211"/>
        <w:gridCol w:w="781"/>
        <w:gridCol w:w="146"/>
        <w:gridCol w:w="146"/>
        <w:gridCol w:w="300"/>
        <w:gridCol w:w="866"/>
        <w:gridCol w:w="271"/>
        <w:gridCol w:w="146"/>
        <w:gridCol w:w="211"/>
        <w:gridCol w:w="781"/>
        <w:gridCol w:w="146"/>
        <w:gridCol w:w="146"/>
        <w:gridCol w:w="211"/>
        <w:gridCol w:w="781"/>
        <w:gridCol w:w="146"/>
        <w:gridCol w:w="146"/>
        <w:gridCol w:w="300"/>
        <w:gridCol w:w="866"/>
        <w:gridCol w:w="317"/>
      </w:tblGrid>
      <w:tr>
        <w:trPr/>
        <w:tc>
          <w:tcPr>
            <w:tcW w:w="1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 vs.</w:t>
              <w:br/>
              <w:t>Prior Year</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 vs.</w:t>
              <w:br/>
              <w:t>Prior Year</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Cloud subscriptions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97,573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187,138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151,392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4,828</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9,422</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cloud subscriptions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Software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362</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software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23,790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47,641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2,038</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4,208</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99,067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192,397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181,664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8,322</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15,321</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14,824</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Hardware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5,363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11,389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7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31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hardware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227,012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206,606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441,562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401,221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15,404</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13,514</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29,406</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26,144</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297,794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41,336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80,341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81,913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6,773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13,035</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Condensed Consolidated Financial Summary - Second Quarter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total revenue: $297.8 million for the second quarter of 2026, compared to $272.4 million for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Cloud subscription revenue: $126.7 million for the second quarter of 2026, compared to $100.4 million for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revenue: $133.0 million for the second quarter of 2026, compared to $128.9 million for the second quarter of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income: $66.2 million for the second quarter of 2026, compared to $73.8 million for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margins: 22.2% for the second quarter of 2026, compared to 27.1% for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Diluted earnings per share: $0.85 for the second quarter of 2026 compared to $0.93 for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 from operations: $90.7 million in the second quarter of 2026, compared to $74.0 million in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Days sales outstanding: 67 days at June 30, 2026, compared to 72 days at March 31,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$186.1 million at June 30, 2026, compared to $226.1 million at March 31,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repurchases: In the three months ended June 30, 2026, we reduced our shares of common stock outstanding through the repurchase of approximately 0.9 million shares of our common stock, under the share repurchase program authorized by our Board of Directors for a total investment of $125.0 million. In March 2026, our Board of Directors approved an increase to the Company’s share repurchase authority from $100 million to $500 million. As of the end of the quarter, approximately $225.0 million remained under the existing March 2026 repurchase authority.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Below we discuss our consolidated results of operations for the second quarters of 2026 and 2025.</w:t>
      </w:r>
    </w:p>
    <w:p>
      <w:pPr>
        <w:pStyle w:val="TextBody"/>
        <w:bidi w:val="0"/>
        <w:spacing w:before="0" w:after="120"/>
        <w:jc w:val="both"/>
        <w:rPr>
          <w:rFonts w:ascii="Times New Roman" w:hAnsi="Times New Roman"/>
          <w:b/>
          <w:i/>
          <w:color w:val="000000"/>
          <w:sz w:val="20"/>
          <w:u w:val="single"/>
        </w:rPr>
      </w:pPr>
      <w:r>
        <w:rPr>
          <w:rFonts w:ascii="Times New Roman" w:hAnsi="Times New Roman"/>
          <w:b/>
          <w:i/>
          <w:color w:val="000000"/>
          <w:sz w:val="20"/>
          <w:u w:val="single"/>
        </w:rPr>
        <w:t>Revenue</w:t>
      </w:r>
    </w:p>
    <w:tbl>
      <w:tblPr>
        <w:tblW w:w="8275" w:type="dxa"/>
        <w:jc w:val="left"/>
        <w:tblInd w:w="0" w:type="dxa"/>
        <w:tblLayout w:type="fixed"/>
        <w:tblCellMar>
          <w:top w:w="28" w:type="dxa"/>
          <w:left w:w="28" w:type="dxa"/>
          <w:bottom w:w="28" w:type="dxa"/>
          <w:right w:w="28" w:type="dxa"/>
        </w:tblCellMar>
      </w:tblPr>
      <w:tblGrid>
        <w:gridCol w:w="1756"/>
        <w:gridCol w:w="146"/>
        <w:gridCol w:w="211"/>
        <w:gridCol w:w="781"/>
        <w:gridCol w:w="146"/>
        <w:gridCol w:w="146"/>
        <w:gridCol w:w="211"/>
        <w:gridCol w:w="781"/>
        <w:gridCol w:w="146"/>
        <w:gridCol w:w="146"/>
        <w:gridCol w:w="352"/>
        <w:gridCol w:w="908"/>
        <w:gridCol w:w="301"/>
        <w:gridCol w:w="146"/>
        <w:gridCol w:w="164"/>
        <w:gridCol w:w="475"/>
        <w:gridCol w:w="340"/>
        <w:gridCol w:w="164"/>
        <w:gridCol w:w="164"/>
        <w:gridCol w:w="475"/>
        <w:gridCol w:w="316"/>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5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7"/>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 vs.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Prior Year</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Cloud subscriptions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126,722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100,422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3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w:t>
            </w:r>
          </w:p>
        </w:tc>
        <w:tc>
          <w:tcPr>
            <w:tcW w:w="340"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4"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30,523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3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340"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4"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Hardware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5,579</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30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340"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4"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297,794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 xml:space="preserve">Cloud Subscriptions Revenue. </w:t>
      </w:r>
      <w:r>
        <w:rPr>
          <w:rFonts w:ascii="Times New Roman" w:hAnsi="Times New Roman"/>
          <w:color w:val="000000"/>
          <w:sz w:val="20"/>
        </w:rPr>
        <w:t xml:space="preserve">In the second quarter of 2026, cloud subscriptions revenue increased $26.3 million compared to the same quarter in the prior year. Our customers have demonstrated a clear preference for cloud-based solutions, including existing customers that are migrating from on-premise to cloud-based offerings. Cloud subscriptions revenue for the Americas, EMEA and APAC segments increased $20.2 million, $4.7 million and $1.4 million in the second quarter of 2026, respectively. </w:t>
      </w:r>
    </w:p>
    <w:p>
      <w:pPr>
        <w:pStyle w:val="TextBody"/>
        <w:bidi w:val="0"/>
        <w:spacing w:before="120" w:after="283"/>
        <w:jc w:val="left"/>
        <w:rPr>
          <w:rFonts w:ascii="Times New Roman" w:hAnsi="Times New Roman"/>
          <w:sz w:val="20"/>
        </w:rPr>
      </w:pPr>
      <w:r>
        <w:rPr>
          <w:rFonts w:ascii="Times New Roman" w:hAnsi="Times New Roman"/>
          <w:b/>
          <w:color w:val="000000"/>
          <w:sz w:val="20"/>
        </w:rPr>
        <w:t>Software License Revenue.</w:t>
      </w:r>
      <w:r>
        <w:rPr>
          <w:rFonts w:ascii="Times New Roman" w:hAnsi="Times New Roman"/>
          <w:color w:val="000000"/>
          <w:sz w:val="20"/>
        </w:rPr>
        <w:t xml:space="preserve"> Software license revenue increased $0.4 million in the second quarter of 2026 compared to the same quarter in the prior year. The perpetual license sales percentage mix across our product suite in the second quarter ended June 30, 2026 was over 70% warehouse management solutions.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Maintenance Revenue. </w:t>
      </w:r>
      <w:r>
        <w:rPr>
          <w:rFonts w:ascii="Times New Roman" w:hAnsi="Times New Roman"/>
          <w:color w:val="000000"/>
          <w:sz w:val="20"/>
        </w:rPr>
        <w:t xml:space="preserve">Maintenance revenue decreased $4.5 million in the second quarter of 2026 compared to the same quarter in the prior year. Maintenance relates to our perpetual software licenses. The decrease in maintenance revenue for the Americas segment is primarily driven by customer demand for cloud-based solutions over perpetual software licenses. Maintenance revenue for the Americas, EMEA, and APAC segments decreased by $4.0 million, $0.4 million, and $0.1 million, respectively. </w:t>
      </w:r>
    </w:p>
    <w:p>
      <w:pPr>
        <w:pStyle w:val="TextBody"/>
        <w:bidi w:val="0"/>
        <w:spacing w:before="120" w:after="283"/>
        <w:jc w:val="left"/>
        <w:rPr>
          <w:rFonts w:ascii="Times New Roman" w:hAnsi="Times New Roman"/>
          <w:sz w:val="20"/>
        </w:rPr>
      </w:pPr>
      <w:r>
        <w:rPr>
          <w:rFonts w:ascii="Times New Roman" w:hAnsi="Times New Roman"/>
          <w:b/>
          <w:color w:val="000000"/>
          <w:sz w:val="20"/>
        </w:rPr>
        <w:t>Services Revenue.</w:t>
      </w:r>
      <w:r>
        <w:rPr>
          <w:rFonts w:ascii="Times New Roman" w:hAnsi="Times New Roman"/>
          <w:color w:val="000000"/>
          <w:sz w:val="20"/>
        </w:rPr>
        <w:t xml:space="preserve"> Services revenue increased $4.1 million in the second quarter of 2026 compared to the same quarter in the prior year. Services revenue increased $4.9 million and $0.8 million for the Americas and APAC segments, respectively, partially offset by a decrease of $1.5 million for the EMEA segment compared to the same quarter in the prior year. The increase in services revenue for the Americas segment is primarily driven by demand for cloud-based solutions. The percentage of professional services revenue that relates to cloud subscriptions in the second quarter of 2026 and 2025 was approximately 81% and 76%, respectively. The remainder of our professional services revenue relates to implementations, ongoing support, and upgrades of licensed software.</w:t>
      </w:r>
    </w:p>
    <w:p>
      <w:pPr>
        <w:pStyle w:val="TextBody"/>
        <w:bidi w:val="0"/>
        <w:spacing w:before="120" w:after="283"/>
        <w:jc w:val="left"/>
        <w:rPr>
          <w:rFonts w:ascii="Times New Roman" w:hAnsi="Times New Roman"/>
          <w:sz w:val="20"/>
        </w:rPr>
      </w:pPr>
      <w:r>
        <w:rPr>
          <w:rFonts w:ascii="Times New Roman" w:hAnsi="Times New Roman"/>
          <w:b/>
          <w:color w:val="000000"/>
          <w:sz w:val="20"/>
        </w:rPr>
        <w:t>Hardware Revenue.</w:t>
      </w:r>
      <w:r>
        <w:rPr>
          <w:rFonts w:ascii="Times New Roman" w:hAnsi="Times New Roman"/>
          <w:color w:val="000000"/>
          <w:sz w:val="20"/>
        </w:rPr>
        <w:t xml:space="preserve"> Hardware revenue, net decreased $0.9 million in the second quarter of 2026 compared to the same quarter in the prior year. The majority of our hardware revenue is derived from our Americas segment. Sales of hardware are largely dependent upon customer-specific desires, which fluctuate.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b/>
          <w:i/>
          <w:color w:val="000000"/>
          <w:sz w:val="20"/>
          <w:u w:val="single"/>
        </w:rPr>
      </w:pPr>
      <w:r>
        <w:rPr>
          <w:rFonts w:ascii="Times New Roman" w:hAnsi="Times New Roman"/>
          <w:b/>
          <w:i/>
          <w:color w:val="000000"/>
          <w:sz w:val="20"/>
          <w:u w:val="single"/>
        </w:rPr>
        <w:t>Cost of Revenue</w:t>
      </w:r>
    </w:p>
    <w:tbl>
      <w:tblPr>
        <w:tblW w:w="8891" w:type="dxa"/>
        <w:jc w:val="left"/>
        <w:tblInd w:w="0" w:type="dxa"/>
        <w:tblLayout w:type="fixed"/>
        <w:tblCellMar>
          <w:top w:w="28" w:type="dxa"/>
          <w:left w:w="28" w:type="dxa"/>
          <w:bottom w:w="28" w:type="dxa"/>
          <w:right w:w="28" w:type="dxa"/>
        </w:tblCellMar>
      </w:tblPr>
      <w:tblGrid>
        <w:gridCol w:w="4501"/>
        <w:gridCol w:w="146"/>
        <w:gridCol w:w="211"/>
        <w:gridCol w:w="781"/>
        <w:gridCol w:w="146"/>
        <w:gridCol w:w="146"/>
        <w:gridCol w:w="211"/>
        <w:gridCol w:w="781"/>
        <w:gridCol w:w="146"/>
        <w:gridCol w:w="146"/>
        <w:gridCol w:w="398"/>
        <w:gridCol w:w="862"/>
        <w:gridCol w:w="41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 vs.</w:t>
              <w:br/>
              <w:t>Prior Year</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cloud subscriptions, maintenance and services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128,907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115,921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software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129,463</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116,215</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Cost of Cloud Subscriptions, Maintenance and Services.</w:t>
      </w:r>
      <w:r>
        <w:rPr>
          <w:rFonts w:ascii="Times New Roman" w:hAnsi="Times New Roman"/>
          <w:color w:val="000000"/>
          <w:sz w:val="20"/>
        </w:rPr>
        <w:t xml:space="preserve"> Costs of cloud subscriptions, maintenance and services consist primarily of salaries and other personnel-related expenses of employees dedicated to cloud subscriptions; maintenance services; and professional and technical services as well as hosting fees. The $13.0 million increase in the quarter ended June 30, 2026 compared to the same quarter in the prior year was due to a $4.7 million increase in performance-based compensation expense, a $4.6 million increase in compensation and other personnel-related expenses, a $2.6 million increase in computer infrastructure cost, and a $1.1 million increase in travel costs.</w:t>
      </w:r>
    </w:p>
    <w:p>
      <w:pPr>
        <w:pStyle w:val="TextBody"/>
        <w:bidi w:val="0"/>
        <w:spacing w:before="120" w:after="283"/>
        <w:jc w:val="left"/>
        <w:rPr>
          <w:rFonts w:ascii="Times New Roman" w:hAnsi="Times New Roman"/>
          <w:sz w:val="20"/>
        </w:rPr>
      </w:pPr>
      <w:r>
        <w:rPr>
          <w:rFonts w:ascii="Times New Roman" w:hAnsi="Times New Roman"/>
          <w:b/>
          <w:color w:val="000000"/>
          <w:sz w:val="20"/>
        </w:rPr>
        <w:t>Cost of Software License.</w:t>
      </w:r>
      <w:r>
        <w:rPr>
          <w:rFonts w:ascii="Times New Roman" w:hAnsi="Times New Roman"/>
          <w:color w:val="000000"/>
          <w:sz w:val="20"/>
        </w:rPr>
        <w:t xml:space="preserve"> Cost of software license consists of the costs associated with software reproduction; media, packaging and delivery; documentation, and other related costs; and royalties on third-party software sold with or as part of our products. Cost of software license increased $0.3 million in the second quarter of 2026 compared to the same quarter in the prior year. </w:t>
      </w:r>
    </w:p>
    <w:p>
      <w:pPr>
        <w:pStyle w:val="TextBody"/>
        <w:bidi w:val="0"/>
        <w:spacing w:before="240" w:after="120"/>
        <w:jc w:val="both"/>
        <w:rPr>
          <w:rFonts w:ascii="Times New Roman" w:hAnsi="Times New Roman"/>
          <w:b/>
          <w:i/>
          <w:color w:val="000000"/>
          <w:sz w:val="20"/>
          <w:u w:val="single"/>
        </w:rPr>
      </w:pPr>
      <w:r>
        <w:rPr>
          <w:rFonts w:ascii="Times New Roman" w:hAnsi="Times New Roman"/>
          <w:b/>
          <w:i/>
          <w:color w:val="000000"/>
          <w:sz w:val="20"/>
          <w:u w:val="single"/>
        </w:rPr>
        <w:t>Operating Expenses</w:t>
      </w:r>
    </w:p>
    <w:tbl>
      <w:tblPr>
        <w:tblW w:w="6811" w:type="dxa"/>
        <w:jc w:val="left"/>
        <w:tblInd w:w="0" w:type="dxa"/>
        <w:tblLayout w:type="fixed"/>
        <w:tblCellMar>
          <w:top w:w="28" w:type="dxa"/>
          <w:left w:w="28" w:type="dxa"/>
          <w:bottom w:w="28" w:type="dxa"/>
          <w:right w:w="28" w:type="dxa"/>
        </w:tblCellMar>
      </w:tblPr>
      <w:tblGrid>
        <w:gridCol w:w="2596"/>
        <w:gridCol w:w="146"/>
        <w:gridCol w:w="211"/>
        <w:gridCol w:w="781"/>
        <w:gridCol w:w="146"/>
        <w:gridCol w:w="146"/>
        <w:gridCol w:w="211"/>
        <w:gridCol w:w="676"/>
        <w:gridCol w:w="146"/>
        <w:gridCol w:w="146"/>
        <w:gridCol w:w="398"/>
        <w:gridCol w:w="862"/>
        <w:gridCol w:w="34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 vs.</w:t>
              <w:br/>
              <w:t>Prior Year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34,765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34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26,741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34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8,263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N/A</w:t>
            </w:r>
          </w:p>
        </w:tc>
        <w:tc>
          <w:tcPr>
            <w:tcW w:w="346"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w:t>
      </w:r>
      <w:r>
        <w:rPr>
          <w:rFonts w:ascii="Times New Roman" w:hAnsi="Times New Roman"/>
          <w:color w:val="000000"/>
          <w:sz w:val="20"/>
        </w:rPr>
        <w:t xml:space="preserve"> Our principal R&amp;D activities have focused on the expansion and integration of new products and releases, including cloud-based solutions, while expanding the product footprint of our software solution suites in Supply Chain, Demand Forecasting and Replenishment, Omnichannel, and POS. R&amp;D expenses primarily consist of salaries and other personnel-related costs for personnel involved in our R&amp;D activities. R&amp;D expenses for the quarter ended June 30, 2026 remained relatively flat compared to the same quarter of 2025.</w:t>
      </w:r>
    </w:p>
    <w:p>
      <w:pPr>
        <w:pStyle w:val="TextBody"/>
        <w:bidi w:val="0"/>
        <w:spacing w:before="120" w:after="283"/>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Sales and marketing expenses include salaries, commissions, travel and other personnel-related costs and the costs of our marketing and alliance programs and related activities. Sales and marketing expenses increased $10.7 million in the quarter ended June 30, 2026 compared to the same quarter in the prior year as we have expanded our sales force and increased our marketing efforts to accelerate our revenue growth. The increase is primarily due to a $4.4 million increase in marketing and campaign program expenses, a $3.3 million increase in compensation and other personnel-related expenses, a $2.6 million increase in performance-based compensation expense, and a $0.3 million increase in travel expense.</w:t>
      </w:r>
    </w:p>
    <w:p>
      <w:pPr>
        <w:pStyle w:val="TextBody"/>
        <w:bidi w:val="0"/>
        <w:spacing w:before="120" w:after="283"/>
        <w:jc w:val="left"/>
        <w:rPr>
          <w:rFonts w:ascii="Times New Roman" w:hAnsi="Times New Roman"/>
          <w:sz w:val="20"/>
        </w:rPr>
      </w:pPr>
      <w:r>
        <w:rPr>
          <w:rFonts w:ascii="Times New Roman" w:hAnsi="Times New Roman"/>
          <w:b/>
          <w:color w:val="000000"/>
          <w:sz w:val="20"/>
        </w:rPr>
        <w:t>General and Administrative (G&amp;A).</w:t>
      </w:r>
      <w:r>
        <w:rPr>
          <w:rFonts w:ascii="Times New Roman" w:hAnsi="Times New Roman"/>
          <w:color w:val="000000"/>
          <w:sz w:val="20"/>
        </w:rPr>
        <w:t xml:space="preserve"> G&amp;A expenses consist primarily of salaries and other personnel-related costs of executive, financial, human resources, information technology, and administrative personnel, as well as facilities, legal, insurance, accounting, and other administrative expenses. G&amp;A expenses increased $0.8 million in the current year quarter compared to the same quarter in the prior year primarily due to a $2.1 million increase in compensation and other personnel-related expenses, a $0.8 million increase in in professional fees, a $0.7 million increase in performance-based compensation expense, partially offset by a $3.0 million decrease in benefits expense for an unusual health insurance claim in the prior year period.</w:t>
      </w:r>
    </w:p>
    <w:p>
      <w:pPr>
        <w:pStyle w:val="TextBody"/>
        <w:bidi w:val="0"/>
        <w:spacing w:before="120" w:after="283"/>
        <w:jc w:val="left"/>
        <w:rPr>
          <w:rFonts w:ascii="Times New Roman" w:hAnsi="Times New Roman"/>
          <w:sz w:val="20"/>
        </w:rPr>
      </w:pPr>
      <w:r>
        <w:rPr>
          <w:rFonts w:ascii="Times New Roman" w:hAnsi="Times New Roman"/>
          <w:b/>
          <w:color w:val="000000"/>
          <w:sz w:val="20"/>
        </w:rPr>
        <w:t>Depreciation and Amortization.</w:t>
      </w:r>
      <w:r>
        <w:rPr>
          <w:rFonts w:ascii="Times New Roman" w:hAnsi="Times New Roman"/>
          <w:color w:val="000000"/>
          <w:sz w:val="20"/>
        </w:rPr>
        <w:t xml:space="preserve"> Depreciation and amortization of intangibles and software expense for both the second quarter of 2026 and 2025 was $1.6 million. </w:t>
      </w:r>
    </w:p>
    <w:p>
      <w:pPr>
        <w:pStyle w:val="TextBody"/>
        <w:bidi w:val="0"/>
        <w:spacing w:before="120" w:after="283"/>
        <w:jc w:val="left"/>
        <w:rPr>
          <w:rFonts w:ascii="Times New Roman" w:hAnsi="Times New Roman"/>
          <w:sz w:val="20"/>
        </w:rPr>
      </w:pPr>
      <w:r>
        <w:rPr>
          <w:rFonts w:ascii="Times New Roman" w:hAnsi="Times New Roman"/>
          <w:b/>
          <w:color w:val="000000"/>
          <w:sz w:val="20"/>
        </w:rPr>
        <w:t>Restructuring Expense.</w:t>
      </w:r>
      <w:r>
        <w:rPr>
          <w:rFonts w:ascii="Times New Roman" w:hAnsi="Times New Roman"/>
          <w:color w:val="000000"/>
          <w:sz w:val="20"/>
        </w:rPr>
        <w:t xml:space="preserve"> Restructuring expenses consist primarily of employee severance and outplacement services. On June 1, 2026, the Company reduced its global headcount by approximately 6%, leveraging increased operational efficiencies and allowing the Company to focus investments on key strategic priorities. The Company recorded a restructuring expense of approximately $8.3 million pretax ($6.2 million after-tax or $0.11 per fully diluted share) in the second quarter of 2026. The expense is classified in “Restructuring expense” in the Company’s Consolidated Statements of Income.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u w:val="single"/>
        </w:rPr>
      </w:pPr>
      <w:r>
        <w:rPr>
          <w:rFonts w:ascii="Times New Roman" w:hAnsi="Times New Roman"/>
          <w:b/>
          <w:i/>
          <w:color w:val="000000"/>
          <w:sz w:val="20"/>
          <w:u w:val="single"/>
        </w:rPr>
        <w:t>Operating Income</w:t>
      </w:r>
    </w:p>
    <w:p>
      <w:pPr>
        <w:pStyle w:val="TextBody"/>
        <w:bidi w:val="0"/>
        <w:jc w:val="left"/>
        <w:rPr>
          <w:rFonts w:ascii="Times New Roman" w:hAnsi="Times New Roman"/>
          <w:color w:val="000000"/>
          <w:sz w:val="20"/>
        </w:rPr>
      </w:pPr>
      <w:r>
        <w:rPr>
          <w:rFonts w:ascii="Times New Roman" w:hAnsi="Times New Roman"/>
          <w:color w:val="000000"/>
          <w:sz w:val="20"/>
        </w:rPr>
        <w:t xml:space="preserve">Operating income in the second quarter of 2026 was $66.2 million compared to $73.8 million in the same quarter in the prior year. Operating margin was 22.2% for the second quarter of 2026 versus 27.1% for the same quarter in the prior year. Operating income and margin decreased primarily due to the restructuring expense as well as an increase in sales and marketing expenses. </w:t>
      </w:r>
    </w:p>
    <w:p>
      <w:pPr>
        <w:pStyle w:val="TextBody"/>
        <w:bidi w:val="0"/>
        <w:spacing w:before="240" w:after="120"/>
        <w:jc w:val="left"/>
        <w:rPr>
          <w:rFonts w:ascii="Times New Roman" w:hAnsi="Times New Roman"/>
          <w:sz w:val="20"/>
        </w:rPr>
      </w:pPr>
      <w:r>
        <w:rPr>
          <w:rFonts w:ascii="Times New Roman" w:hAnsi="Times New Roman"/>
          <w:b/>
          <w:i/>
          <w:color w:val="000000"/>
          <w:sz w:val="20"/>
          <w:u w:val="single"/>
        </w:rPr>
        <w:t>Other Income and Income Taxes</w:t>
      </w:r>
      <w:r>
        <w:rPr>
          <w:rFonts w:ascii="Times New Roman" w:hAnsi="Times New Roman"/>
          <w:color w:val="000000"/>
          <w:sz w:val="20"/>
        </w:rPr>
        <w:t xml:space="preserve"> </w:t>
      </w:r>
    </w:p>
    <w:tbl>
      <w:tblPr>
        <w:tblW w:w="5926" w:type="dxa"/>
        <w:jc w:val="left"/>
        <w:tblInd w:w="0" w:type="dxa"/>
        <w:tblLayout w:type="fixed"/>
        <w:tblCellMar>
          <w:top w:w="28" w:type="dxa"/>
          <w:left w:w="28" w:type="dxa"/>
          <w:bottom w:w="28" w:type="dxa"/>
          <w:right w:w="28" w:type="dxa"/>
        </w:tblCellMar>
      </w:tblPr>
      <w:tblGrid>
        <w:gridCol w:w="1846"/>
        <w:gridCol w:w="146"/>
        <w:gridCol w:w="211"/>
        <w:gridCol w:w="676"/>
        <w:gridCol w:w="146"/>
        <w:gridCol w:w="146"/>
        <w:gridCol w:w="211"/>
        <w:gridCol w:w="676"/>
        <w:gridCol w:w="146"/>
        <w:gridCol w:w="146"/>
        <w:gridCol w:w="398"/>
        <w:gridCol w:w="862"/>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 vs.</w:t>
              <w:br/>
              <w:t>Prior Year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Other income, net.</w:t>
      </w:r>
      <w:r>
        <w:rPr>
          <w:rFonts w:ascii="Times New Roman" w:hAnsi="Times New Roman"/>
          <w:color w:val="000000"/>
          <w:sz w:val="20"/>
        </w:rPr>
        <w:t xml:space="preserve"> Other income, net primarily includes interest income, foreign currency gains and losses, and other non-operating expenses. Other income, net increased $0.3 million in the second quarter of 2026 compared to the same quarter in the prior year due to a $0.3 million increase in foreign currency gains. The increase of foreign currency gains is mainly due to gains or losses on intercompany transactions denominated in foreign currencies with subsidiaries due to the fluctuation of the U.S. dollar relative to other foreign currencies, primarily the Indian Rupee. We recorded net foreign currency gains of $0.2 million in the second quarter of 2026, and losses of $0.1 million in the same quarter in the prior year.</w:t>
      </w:r>
    </w:p>
    <w:p>
      <w:pPr>
        <w:pStyle w:val="TextBody"/>
        <w:bidi w:val="0"/>
        <w:spacing w:before="120" w:after="240"/>
        <w:jc w:val="left"/>
        <w:rPr>
          <w:rFonts w:ascii="Times New Roman" w:hAnsi="Times New Roman"/>
          <w:sz w:val="20"/>
        </w:rPr>
      </w:pPr>
      <w:r>
        <w:rPr>
          <w:rFonts w:ascii="Times New Roman" w:hAnsi="Times New Roman"/>
          <w:b/>
          <w:color w:val="000000"/>
          <w:sz w:val="20"/>
        </w:rPr>
        <w:t>Income tax provision.</w:t>
      </w:r>
      <w:r>
        <w:rPr>
          <w:rFonts w:ascii="Times New Roman" w:hAnsi="Times New Roman"/>
          <w:color w:val="000000"/>
          <w:sz w:val="20"/>
        </w:rPr>
        <w:t xml:space="preserve"> Our effective income tax rate was 25.1% and 23.8% for the quarters ended June 30, 2026 and 2025, respectively. The increase in the effective tax rate for the three months ended June 30, 2026 is due to a decrease of stock-based compensation benefits.</w:t>
      </w:r>
    </w:p>
    <w:p>
      <w:pPr>
        <w:pStyle w:val="TextBody"/>
        <w:bidi w:val="0"/>
        <w:spacing w:before="120" w:after="283"/>
        <w:jc w:val="both"/>
        <w:rPr>
          <w:rFonts w:ascii="Times New Roman" w:hAnsi="Times New Roman"/>
          <w:sz w:val="20"/>
        </w:rPr>
      </w:pPr>
      <w:r>
        <w:rPr>
          <w:rFonts w:ascii="Times New Roman" w:hAnsi="Times New Roman"/>
          <w:b/>
          <w:color w:val="000000"/>
          <w:sz w:val="20"/>
          <w:u w:val="single"/>
        </w:rPr>
        <w:t>Condensed Consolidated Financial Summary – First Six Months of 2026</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revenue: $580.0 million for the six months ended June 30, 2026 compared to $535.2 million for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Cloud subscription revenue: $243.8 million for the six months ended June 30, 2026 compared to $194.7 million for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revenue: $258.8 million for the six months ended June 30, 2026, compared to $250.0 million for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income: $131.2 million for the six months ended June 30, 2026, compared to $137.0 million for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margins: 22.6% for the six months ended June 30, 2026, compared to 25.6% for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Diluted earnings per share: $1.67 for the six months ended June 30, 2026 compared to $1.78 for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 from operations: $174.7 million for the six months ended June 30, 2026, compared to $149.3 million for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$186.1 million at June 30, 2026, compared to $328.7 million at December 31,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repurchases: During the six months ended June 30, 2026, we reduced our shares of common stock outstanding by approximately 3.2% primarily through the repurchase of approximately 1.9 million shares of our common stock, under the share repurchase program authorized by our Board of Directors, for a total investment of $275.0 million.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Below we discuss our consolidated results of operations for the six months ended June 30, 2026 and 2025. </w:t>
      </w:r>
    </w:p>
    <w:p>
      <w:pPr>
        <w:pStyle w:val="TextBody"/>
        <w:bidi w:val="0"/>
        <w:spacing w:before="0" w:after="120"/>
        <w:jc w:val="both"/>
        <w:rPr>
          <w:rFonts w:ascii="Times New Roman" w:hAnsi="Times New Roman"/>
          <w:b/>
          <w:i/>
          <w:color w:val="000000"/>
          <w:sz w:val="20"/>
          <w:u w:val="single"/>
        </w:rPr>
      </w:pPr>
      <w:r>
        <w:rPr>
          <w:rFonts w:ascii="Times New Roman" w:hAnsi="Times New Roman"/>
          <w:b/>
          <w:i/>
          <w:color w:val="000000"/>
          <w:sz w:val="20"/>
          <w:u w:val="single"/>
        </w:rPr>
        <w:t>Revenue</w:t>
      </w:r>
    </w:p>
    <w:tbl>
      <w:tblPr>
        <w:tblW w:w="7924" w:type="dxa"/>
        <w:jc w:val="left"/>
        <w:tblInd w:w="0" w:type="dxa"/>
        <w:tblLayout w:type="fixed"/>
        <w:tblCellMar>
          <w:top w:w="28" w:type="dxa"/>
          <w:left w:w="28" w:type="dxa"/>
          <w:bottom w:w="28" w:type="dxa"/>
          <w:right w:w="28" w:type="dxa"/>
        </w:tblCellMar>
      </w:tblPr>
      <w:tblGrid>
        <w:gridCol w:w="1756"/>
        <w:gridCol w:w="146"/>
        <w:gridCol w:w="211"/>
        <w:gridCol w:w="781"/>
        <w:gridCol w:w="146"/>
        <w:gridCol w:w="146"/>
        <w:gridCol w:w="211"/>
        <w:gridCol w:w="781"/>
        <w:gridCol w:w="146"/>
        <w:gridCol w:w="146"/>
        <w:gridCol w:w="309"/>
        <w:gridCol w:w="801"/>
        <w:gridCol w:w="301"/>
        <w:gridCol w:w="146"/>
        <w:gridCol w:w="146"/>
        <w:gridCol w:w="421"/>
        <w:gridCol w:w="301"/>
        <w:gridCol w:w="146"/>
        <w:gridCol w:w="146"/>
        <w:gridCol w:w="421"/>
        <w:gridCol w:w="316"/>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0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7"/>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r>
              <w:rPr>
                <w:rFonts w:ascii="Times New Roman" w:hAnsi="Times New Roman"/>
                <w:color w:val="000000"/>
                <w:sz w:val="16"/>
              </w:rPr>
              <w:t xml:space="preserve"> </w:t>
            </w:r>
            <w:r>
              <w:rPr>
                <w:rFonts w:ascii="Times New Roman" w:hAnsi="Times New Roman"/>
                <w:b/>
                <w:color w:val="000000"/>
                <w:sz w:val="16"/>
              </w:rPr>
              <w:t>vs.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Prior Year</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Cloud subscriptions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243,845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194,728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w:t>
            </w:r>
          </w:p>
        </w:tc>
        <w:tc>
          <w:tcPr>
            <w:tcW w:w="3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w:t>
            </w:r>
          </w:p>
        </w:tc>
        <w:tc>
          <w:tcPr>
            <w:tcW w:w="3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61,115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3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3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Hardware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12,128</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30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30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 xml:space="preserve">Cloud Subscription Revenue. </w:t>
      </w:r>
      <w:r>
        <w:rPr>
          <w:rFonts w:ascii="Times New Roman" w:hAnsi="Times New Roman"/>
          <w:color w:val="000000"/>
          <w:sz w:val="20"/>
        </w:rPr>
        <w:t>Cloud subscriptions revenue increased $49.1 million in the six months ended June 30, 2026 compared to the same period in the prior year. Customers have demonstrated a clear preference for cloud-based solutions, including existing customers that are migrating from on-premise to cloud-based offerings. Cloud subscriptions revenue for the Americas, EMEA and APAC segments increased $35.7 million, $10.4 million and $3.0 million, respectively, in the six months ended June 30, 2026 compared to the same period in the prior year.</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Software License Revenue. </w:t>
      </w:r>
      <w:r>
        <w:rPr>
          <w:rFonts w:ascii="Times New Roman" w:hAnsi="Times New Roman"/>
          <w:color w:val="000000"/>
          <w:sz w:val="20"/>
        </w:rPr>
        <w:t>Software license revenue decreased $6.6 million in the six months ended June 30, 2026 compared to the same period in the prior year, predominantly driven by one large contract with an existing customer in the prior year period. The license sales percentage mix across our product suite in the six months ended June 30, 2026 was over 80% warehouse management solutions.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Maintenance Revenue. </w:t>
      </w:r>
      <w:r>
        <w:rPr>
          <w:rFonts w:ascii="Times New Roman" w:hAnsi="Times New Roman"/>
          <w:color w:val="000000"/>
          <w:sz w:val="20"/>
        </w:rPr>
        <w:t xml:space="preserve">Maintenance revenue decreased $6.1 million in the six months ended June 30, 2026 compared to the same period in the prior year. Maintenance revenue for the Americas segment decreased by $6.1 million and the EMEA and APAC segments remained relatively flat in the six months ended June 30, 2026 compared to the same period in the prior year. </w:t>
      </w:r>
    </w:p>
    <w:p>
      <w:pPr>
        <w:pStyle w:val="TextBody"/>
        <w:bidi w:val="0"/>
        <w:spacing w:before="120" w:after="283"/>
        <w:jc w:val="left"/>
        <w:rPr>
          <w:rFonts w:ascii="Times New Roman" w:hAnsi="Times New Roman"/>
          <w:sz w:val="20"/>
        </w:rPr>
      </w:pPr>
      <w:r>
        <w:rPr>
          <w:rFonts w:ascii="Times New Roman" w:hAnsi="Times New Roman"/>
          <w:b/>
          <w:color w:val="000000"/>
          <w:sz w:val="20"/>
        </w:rPr>
        <w:t>Services Revenue.</w:t>
      </w:r>
      <w:r>
        <w:rPr>
          <w:rFonts w:ascii="Times New Roman" w:hAnsi="Times New Roman"/>
          <w:color w:val="000000"/>
          <w:sz w:val="20"/>
        </w:rPr>
        <w:t xml:space="preserve"> Services revenue increased $8.7 million in the six months ended June 30, 2026 compared to the same period in the prior year. Services revenue increased $10.7 million and $0.5 million for the Americas and APAC segments, respectively, partially offset by a decrease of $2.5 million for the EMEA segment six months ended June 30, 2026 compared to the same period in the prior year. The increase in services revenue is primarily driven by primarily driven by demand for cloud-based solutions. The percentage of professional services revenue that relates to cloud subscriptions in the six months ended June 30, 2026 and 2025 was approximately 81% and 75%, respectively. The remainder of our professional services revenue relates to implementations, ongoing support, and upgrades of licensed software.</w:t>
      </w:r>
    </w:p>
    <w:p>
      <w:pPr>
        <w:pStyle w:val="TextBody"/>
        <w:bidi w:val="0"/>
        <w:spacing w:before="120" w:after="240"/>
        <w:jc w:val="left"/>
        <w:rPr>
          <w:rFonts w:ascii="Times New Roman" w:hAnsi="Times New Roman"/>
          <w:sz w:val="20"/>
        </w:rPr>
      </w:pPr>
      <w:r>
        <w:rPr>
          <w:rFonts w:ascii="Times New Roman" w:hAnsi="Times New Roman"/>
          <w:b/>
          <w:color w:val="000000"/>
          <w:sz w:val="20"/>
        </w:rPr>
        <w:t>Hardware Revenue.</w:t>
      </w:r>
      <w:r>
        <w:rPr>
          <w:rFonts w:ascii="Times New Roman" w:hAnsi="Times New Roman"/>
          <w:color w:val="000000"/>
          <w:sz w:val="20"/>
        </w:rPr>
        <w:t xml:space="preserve"> Hardware revenue decreased $0.3 million in the six months ended June 30, 2026 compared to the same period in the prior year. The majority of our hardware revenue is derived from our Americas segment. Sales of hardware is largely dependent upon customer-specific desires, which fluctuate.</w:t>
      </w:r>
    </w:p>
    <w:p>
      <w:pPr>
        <w:pStyle w:val="TextBody"/>
        <w:bidi w:val="0"/>
        <w:spacing w:before="0" w:after="120"/>
        <w:jc w:val="left"/>
        <w:rPr>
          <w:rFonts w:ascii="Times New Roman" w:hAnsi="Times New Roman"/>
          <w:b/>
          <w:i/>
          <w:color w:val="000000"/>
          <w:sz w:val="20"/>
          <w:u w:val="single"/>
        </w:rPr>
      </w:pPr>
      <w:r>
        <w:rPr>
          <w:rFonts w:ascii="Times New Roman" w:hAnsi="Times New Roman"/>
          <w:b/>
          <w:i/>
          <w:color w:val="000000"/>
          <w:sz w:val="20"/>
          <w:u w:val="single"/>
        </w:rPr>
        <w:t>Cost of Revenue</w:t>
      </w:r>
    </w:p>
    <w:tbl>
      <w:tblPr>
        <w:tblW w:w="8741" w:type="dxa"/>
        <w:jc w:val="left"/>
        <w:tblInd w:w="0" w:type="dxa"/>
        <w:tblLayout w:type="fixed"/>
        <w:tblCellMar>
          <w:top w:w="28" w:type="dxa"/>
          <w:left w:w="28" w:type="dxa"/>
          <w:bottom w:w="28" w:type="dxa"/>
          <w:right w:w="28" w:type="dxa"/>
        </w:tblCellMar>
      </w:tblPr>
      <w:tblGrid>
        <w:gridCol w:w="4501"/>
        <w:gridCol w:w="146"/>
        <w:gridCol w:w="211"/>
        <w:gridCol w:w="781"/>
        <w:gridCol w:w="146"/>
        <w:gridCol w:w="146"/>
        <w:gridCol w:w="211"/>
        <w:gridCol w:w="781"/>
        <w:gridCol w:w="146"/>
        <w:gridCol w:w="146"/>
        <w:gridCol w:w="285"/>
        <w:gridCol w:w="825"/>
        <w:gridCol w:w="41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 vs.</w:t>
              <w:br/>
              <w:t>Prior Year</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cloud subscriptions, maintenance and services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254,984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230,279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software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256,104</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230,782</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Cost of Cloud Subscriptions, Maintenance and Services.</w:t>
      </w:r>
      <w:r>
        <w:rPr>
          <w:rFonts w:ascii="Times New Roman" w:hAnsi="Times New Roman"/>
          <w:color w:val="000000"/>
          <w:sz w:val="20"/>
        </w:rPr>
        <w:t xml:space="preserve"> Costs of cloud subscriptions, maintenance and services consist primarily of salaries and other personnel-related expenses of employees dedicated to cloud operations; maintenance services; and professional and technical services as well as hosting fees. The $24.7 million increase in the six months ended June 30, 2026 compared to the same period in the prior year was principally due to a $10.5 million increase in compensation and other personnel-related expenses, a $6.3 million increase in performance-based compensation expense, a $6.2 million increase in computer infrastructure cost, and a $1.4 million increase in travel expenses.</w:t>
      </w:r>
    </w:p>
    <w:p>
      <w:pPr>
        <w:pStyle w:val="TextBody"/>
        <w:bidi w:val="0"/>
        <w:spacing w:before="120" w:after="283"/>
        <w:jc w:val="left"/>
        <w:rPr>
          <w:rFonts w:ascii="Times New Roman" w:hAnsi="Times New Roman"/>
          <w:sz w:val="20"/>
        </w:rPr>
      </w:pPr>
      <w:r>
        <w:rPr>
          <w:rFonts w:ascii="Times New Roman" w:hAnsi="Times New Roman"/>
          <w:b/>
          <w:color w:val="000000"/>
          <w:sz w:val="20"/>
        </w:rPr>
        <w:t>Cost of Software License.</w:t>
      </w:r>
      <w:r>
        <w:rPr>
          <w:rFonts w:ascii="Times New Roman" w:hAnsi="Times New Roman"/>
          <w:color w:val="000000"/>
          <w:sz w:val="20"/>
        </w:rPr>
        <w:t xml:space="preserve"> Cost of software license consists of the costs associated with software reproduction; media, packaging and delivery; documentation, and other related costs; and royalties on third-party software sold with or as part of our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Cost of software license increased $0.6 million in the six months ended June 30, 2026 compared to the same period in the prior year.</w:t>
      </w:r>
    </w:p>
    <w:p>
      <w:pPr>
        <w:pStyle w:val="TextBody"/>
        <w:bidi w:val="0"/>
        <w:spacing w:before="240" w:after="120"/>
        <w:jc w:val="both"/>
        <w:rPr>
          <w:rFonts w:ascii="Times New Roman" w:hAnsi="Times New Roman"/>
          <w:b/>
          <w:i/>
          <w:color w:val="000000"/>
          <w:sz w:val="20"/>
          <w:u w:val="single"/>
        </w:rPr>
      </w:pPr>
      <w:r>
        <w:rPr>
          <w:rFonts w:ascii="Times New Roman" w:hAnsi="Times New Roman"/>
          <w:b/>
          <w:i/>
          <w:color w:val="000000"/>
          <w:sz w:val="20"/>
          <w:u w:val="single"/>
        </w:rPr>
        <w:t>Operating Expenses</w:t>
      </w:r>
    </w:p>
    <w:tbl>
      <w:tblPr>
        <w:tblW w:w="6866" w:type="dxa"/>
        <w:jc w:val="left"/>
        <w:tblInd w:w="0" w:type="dxa"/>
        <w:tblLayout w:type="fixed"/>
        <w:tblCellMar>
          <w:top w:w="28" w:type="dxa"/>
          <w:left w:w="28" w:type="dxa"/>
          <w:bottom w:w="28" w:type="dxa"/>
          <w:right w:w="28" w:type="dxa"/>
        </w:tblCellMar>
      </w:tblPr>
      <w:tblGrid>
        <w:gridCol w:w="2596"/>
        <w:gridCol w:w="146"/>
        <w:gridCol w:w="211"/>
        <w:gridCol w:w="781"/>
        <w:gridCol w:w="146"/>
        <w:gridCol w:w="146"/>
        <w:gridCol w:w="211"/>
        <w:gridCol w:w="781"/>
        <w:gridCol w:w="146"/>
        <w:gridCol w:w="146"/>
        <w:gridCol w:w="285"/>
        <w:gridCol w:w="825"/>
        <w:gridCol w:w="44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 vs.</w:t>
              <w:br/>
              <w:t>Prior Year</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72,111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44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50,447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44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59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8,263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w:t>
            </w:r>
          </w:p>
        </w:tc>
        <w:tc>
          <w:tcPr>
            <w:tcW w:w="446"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192,737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w:t>
      </w:r>
      <w:r>
        <w:rPr>
          <w:rFonts w:ascii="Times New Roman" w:hAnsi="Times New Roman"/>
          <w:color w:val="000000"/>
          <w:sz w:val="20"/>
        </w:rPr>
        <w:t xml:space="preserve"> R&amp;D expenses increased $1.9 million for the six months ended June 30, 2026 compared to the same period in the prior year primarily due to a $1.6 million increase in performance-based compensation expense and a $0.3 million increase in travel expense. </w:t>
      </w:r>
    </w:p>
    <w:p>
      <w:pPr>
        <w:pStyle w:val="TextBody"/>
        <w:bidi w:val="0"/>
        <w:spacing w:before="120" w:after="283"/>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Sales and marketing expenses increased $17.4 million in the six months ended June 30, 2026 compared to the same period in the prior year as we have expanded our sales force and increased our marketing efforts to accelerate our revenue growth. The increase is primarily due to a $6.2 million increase in compensation and other personnel related expenses, a $5.6 million increase in marketing and campaign programs, a $4.9 million increase in performance-based compensation expense, and a $0.5 million increase in travel expense.</w:t>
      </w:r>
    </w:p>
    <w:p>
      <w:pPr>
        <w:pStyle w:val="TextBody"/>
        <w:bidi w:val="0"/>
        <w:spacing w:before="120" w:after="283"/>
        <w:jc w:val="left"/>
        <w:rPr>
          <w:rFonts w:ascii="Times New Roman" w:hAnsi="Times New Roman"/>
          <w:sz w:val="20"/>
        </w:rPr>
      </w:pPr>
      <w:r>
        <w:rPr>
          <w:rFonts w:ascii="Times New Roman" w:hAnsi="Times New Roman"/>
          <w:b/>
          <w:color w:val="000000"/>
          <w:sz w:val="20"/>
        </w:rPr>
        <w:t>General and Administrative.</w:t>
      </w:r>
      <w:r>
        <w:rPr>
          <w:rFonts w:ascii="Times New Roman" w:hAnsi="Times New Roman"/>
          <w:color w:val="000000"/>
          <w:sz w:val="20"/>
        </w:rPr>
        <w:t xml:space="preserve"> General and administrative expenses increased $0.3 million in the six months ended June 30, 2026 compared to the same period in the prior year prior year primarily due to a $3.4 million increase in compensation and other personnel related expenses, $2.4 million increase in professional fees, a $0.8 million increase in benefits expense for a prior period insurance recovery on an unusual health insurance claim, a $0.7 million increase in performance-based compensation expense, and a $0.5 million increase in internal-use software costs. These increases are partially offset by a $4.1 million decrease in stock compensation expense, a $3.0 million decrease in signing bonus expense, and a $0.7 million decrease in recruiting fees, all of which were related to the hiring of our chief executive officer in the prior year period. </w:t>
      </w:r>
    </w:p>
    <w:p>
      <w:pPr>
        <w:pStyle w:val="TextBody"/>
        <w:bidi w:val="0"/>
        <w:spacing w:before="120" w:after="283"/>
        <w:jc w:val="left"/>
        <w:rPr>
          <w:rFonts w:ascii="Times New Roman" w:hAnsi="Times New Roman"/>
          <w:sz w:val="20"/>
        </w:rPr>
      </w:pPr>
      <w:r>
        <w:rPr>
          <w:rFonts w:ascii="Times New Roman" w:hAnsi="Times New Roman"/>
          <w:b/>
          <w:color w:val="000000"/>
          <w:sz w:val="20"/>
        </w:rPr>
        <w:t>Depreciation and Amortization.</w:t>
      </w:r>
      <w:r>
        <w:rPr>
          <w:rFonts w:ascii="Times New Roman" w:hAnsi="Times New Roman"/>
          <w:color w:val="000000"/>
          <w:sz w:val="20"/>
        </w:rPr>
        <w:t xml:space="preserve"> Depreciation and amortization of intangibles and software expense for the six months ended June 30, 2026 and 2025 was $3.5 million and $3.1 million, respectively. </w:t>
      </w:r>
    </w:p>
    <w:p>
      <w:pPr>
        <w:pStyle w:val="TextBody"/>
        <w:bidi w:val="0"/>
        <w:spacing w:before="120" w:after="283"/>
        <w:jc w:val="left"/>
        <w:rPr>
          <w:rFonts w:ascii="Times New Roman" w:hAnsi="Times New Roman"/>
          <w:sz w:val="20"/>
        </w:rPr>
      </w:pPr>
      <w:r>
        <w:rPr>
          <w:rFonts w:ascii="Times New Roman" w:hAnsi="Times New Roman"/>
          <w:b/>
          <w:color w:val="000000"/>
          <w:sz w:val="20"/>
        </w:rPr>
        <w:t>Restructuring Expense.</w:t>
      </w:r>
      <w:r>
        <w:rPr>
          <w:rFonts w:ascii="Times New Roman" w:hAnsi="Times New Roman"/>
          <w:color w:val="000000"/>
          <w:sz w:val="20"/>
        </w:rPr>
        <w:t xml:space="preserve"> Restructuring expense increased by $5.4 million in the six months ended June 30, 2026 compared to the same period in the prior year. On June 1, 2026, the Company reduced its global headcount by approximately 6%, leveraging increased operational efficiencies and allowing the Company to focus investments on key strategic priorities. The Company recorded a restructuring expense of approximately $8.3 million pretax ($6.2 million after-tax or $0.11 per fully diluted share) in the second quarter of 2026, which is partially offset by the $2.9 million expense in January 2025 for the elimination of approximately 100 positions to align the Company's services capacity with customer demand, which was impacted by short-term macro-economic uncertainty.</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Operating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income for the six months ended June 30, 2026 was $131.2 million compared to $137.0 million for the same period in the prior year. Operating margin was 22.6% the first six months of 2026 versus 25.6% for the same period in the prior year. Operating income and margin decreased primarily due to the restructuring expense as well as an increase in sales and marketing expenses.</w:t>
      </w:r>
    </w:p>
    <w:p>
      <w:pPr>
        <w:pStyle w:val="TextBody"/>
        <w:bidi w:val="0"/>
        <w:spacing w:before="240" w:after="120"/>
        <w:jc w:val="left"/>
        <w:rPr>
          <w:rFonts w:ascii="Times New Roman" w:hAnsi="Times New Roman"/>
          <w:b/>
          <w:i/>
          <w:color w:val="000000"/>
          <w:sz w:val="20"/>
          <w:u w:val="single"/>
        </w:rPr>
      </w:pPr>
      <w:r>
        <w:rPr>
          <w:rFonts w:ascii="Times New Roman" w:hAnsi="Times New Roman"/>
          <w:b/>
          <w:i/>
          <w:color w:val="000000"/>
          <w:sz w:val="20"/>
          <w:u w:val="single"/>
        </w:rPr>
        <w:t>Other Income and Income Taxes</w:t>
      </w:r>
    </w:p>
    <w:tbl>
      <w:tblPr>
        <w:tblW w:w="5776" w:type="dxa"/>
        <w:jc w:val="left"/>
        <w:tblInd w:w="0" w:type="dxa"/>
        <w:tblLayout w:type="fixed"/>
        <w:tblCellMar>
          <w:top w:w="28" w:type="dxa"/>
          <w:left w:w="28" w:type="dxa"/>
          <w:bottom w:w="28" w:type="dxa"/>
          <w:right w:w="28" w:type="dxa"/>
        </w:tblCellMar>
      </w:tblPr>
      <w:tblGrid>
        <w:gridCol w:w="1846"/>
        <w:gridCol w:w="146"/>
        <w:gridCol w:w="211"/>
        <w:gridCol w:w="676"/>
        <w:gridCol w:w="146"/>
        <w:gridCol w:w="146"/>
        <w:gridCol w:w="211"/>
        <w:gridCol w:w="676"/>
        <w:gridCol w:w="146"/>
        <w:gridCol w:w="146"/>
        <w:gridCol w:w="285"/>
        <w:gridCol w:w="825"/>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 vs.</w:t>
              <w:br/>
              <w:t>Prior Year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Other income, net.</w:t>
      </w:r>
      <w:r>
        <w:rPr>
          <w:rFonts w:ascii="Times New Roman" w:hAnsi="Times New Roman"/>
          <w:color w:val="000000"/>
          <w:sz w:val="20"/>
        </w:rPr>
        <w:t xml:space="preserve"> Other income, net increased $3.3 million in the six months ended June 30, 2026 compared to the same period in the prior year primarily due to a $3.4 million increase in foreign currency gains. The increase of foreign currency gains is mainly due to gains or losses on intercompany transactions denominated in foreign currencies with subsidiaries due to the fluctuation of the U.S. dollar relative to other foreign currencies, primarily the Indian Rupee. We recorded net foreign currency gains of $3.4 million and $0.1 million in the first six months of 2026 and 2025, respectively.</w:t>
      </w:r>
    </w:p>
    <w:p>
      <w:pPr>
        <w:pStyle w:val="TextBody"/>
        <w:bidi w:val="0"/>
        <w:spacing w:before="120" w:after="283"/>
        <w:jc w:val="left"/>
        <w:rPr>
          <w:rFonts w:ascii="Times New Roman" w:hAnsi="Times New Roman"/>
          <w:sz w:val="20"/>
        </w:rPr>
      </w:pPr>
      <w:r>
        <w:rPr>
          <w:rFonts w:ascii="Times New Roman" w:hAnsi="Times New Roman"/>
          <w:b/>
          <w:color w:val="000000"/>
          <w:sz w:val="20"/>
        </w:rPr>
        <w:t>Income tax provision.</w:t>
      </w:r>
      <w:r>
        <w:rPr>
          <w:rFonts w:ascii="Times New Roman" w:hAnsi="Times New Roman"/>
          <w:color w:val="000000"/>
          <w:sz w:val="20"/>
        </w:rPr>
        <w:t xml:space="preserve"> Our effective income tax rate was 27.0% and 21.3% for the six months ended June 30, 2026 and 2025, respectively. The increase in the effective tax rate for the six months ended June 30, 2026 is due to a decrease of stock-based compensation benefits.</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six months of 2026, we funded our business exclusively through cash generated from operations. Our cash and cash equivalents as of June 30, 2026 included $75.3 million held in the U.S. and $110.8 million held by our foreign subsidiaries. We believe that our cash balances in the U.S. are sufficient to fund our U.S. operations. In the future, if we elect to repatriate the unremitted earnings of our foreign subsidiaries, we would not be subject to additional U.S. income taxes on such earnings, but we could be subject to additional local withholding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 from operating activities totaled $174.7 million and $149.3 million in the six months ended June 30, 2026 and 2025, respectively. Typical factors affecting our cash provided by operating activities include our level of revenue and earnings for the period, the timing and amount of employee bonus and income tax payments, and the timing of cash collections from our customers which is our primary source of operating cash flow. Cash flow from operating activities for the six months ended June 30, 2026 increased $25.4 million compared to the same period in the prior year, which is mainly due the timing of cash collections from our customers and lower bonus and income tax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flow used in investing activities totaled $5.1 million and $4.9 million in the six months ended June 30, 2026 and 2025, respectively. Our investing activities for both the six months ended June 30, 2026 and 2025 consisted of capital spending to support company growth.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 used in financing activities totaled $306.5 million and $186.6 million in the six months ended June 30, 2026 and 2025, respectively. The use of cash for financing activities in both periods was to purchase our common stock, including shares withheld for taxes due upon vesting of restricted stock units of $29.5 million and $37.0 million in the six months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Periodically, opportunities may arise to grow our business through the acquisition of complementary products, and technologies. Any material acquisition could result in a decrease to our working capital depending on the amount, timing, and nature of the consideration to be paid. We believe that our existing cash will be sufficient to meet our working capital and capital expenditure needs at least for the next twelve months, although there can be no assurance that this will be the case. For the remainder of 2026, we anticipate that our priorities for use of cash will be similar to prior years, with our first priority being continued investment in product development and profitably investing in our business to extend our market leadership. We will continue to weigh our share repurchase options against cash for acquisitions and investing in the business. We will also continue to evaluate acquisition opportunities that are complementary to our product footprint and technology direction. At this time, we do not anticipate any borrowing requirements for the remainder of 2026 for general corporate purposes.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Aggregate 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commitments consist of multiple non-cancellable contracts for cloud infrastructure services and obligations under operating leases. As of June 30, 2026, our cloud infrastructure obligations are approximately $177.7 million over the next 4 years. We also enter into non-cancellable subscriptions in the ordinary course of business for internal software to support our operations. Our obligations, as of June 30, 2026, are approximately $35.4 million over the next 6 years. We expect to fulfill all these commitments from our working capital.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first six months of 2026, there were no significant changes to our critical accounting policies and estimates from those disclosed in the section “Management’s Discussion and Analysis of Financial Condition and Results of Operations” in our annual report on Form 10-K for the year ended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statements contained in this filing are “forward-looking statements” within the meaning of the Private Securities Litigation Reform Act of 1995, including but not limited to statements related to expectations about global macroeconomic trends and industry developments, plans for future business development activities, anticipated costs of revenues, product mix and service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research and development, selling, general and administrative activities, and liquidity and capital needs and resources. When used in this quarterly report, the words “may,” “expect,” “forecast,” “anticipate,” “intend,” “plan,” "design", “believe,” “could,” “seek,” “estimate,” “project,” and similar expressions are generally intended to identify forward-looking statements. Undue reliance should not be placed on these forward-looking statements, which reflect opinions only as of the date of this quarterly report. Such forward-looking statements are subject to risks, uncertainties, and other factors that could cause actual results to differ materially from future results expressed or implied by such forward-looking statements. Investors are cautioned that forward-looking statements are not guarantees of future performance and involve risks and uncertainties, and that actual results may differ materially from those contemplated by such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the factors that could cause actual results to differ materially from the results discussed in forward-looking statements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ongoing disruption and transformation in our vertical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political and market conditions, including market volatility, interest and inflation rates, trends and fluctuations of each, and efforts to control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geo-political developments, including the military conflict between the United States, Israel, and Iran, as well as the ongoing war between Russia and Ukraine, political instability, civil unrest, economic sanctions, and terrorist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and retain highly skilled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dependence on a single line of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dependence on generating revenue from cloud subscriptions and software licenses to drive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undetected errors or “bugs” in our software;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of defects, delays or interruptions in our cloud subscription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possible compromises of our data protection and IT security measures;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associated with our use of generative and agentic artificial intelligence;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associated with large system implementations;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possible liability to customers if our products fail;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difficulty of predicting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effects on international commerce of new or increased tariffs, or a “trade war;”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changes in federal government priorities and spending, including on our or our customers’ federal government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litigation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to maintain high quality professional service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risks of international operations, including foreign currency exchange risk;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possibility that research and developments investments may not yield sufficient returns;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long sales cycle associated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continually improve our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associated with managing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third party and open source software;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for our products to interoperate with other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protect our intellectual property, and our exposure to intellectual property claims of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weather events, and disease outbreaks, pandemics, or other major public health crises;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other risks described under the heading “Risk Factors” in our Annual Report on Form 10-K for the year ended December 31, 2025, as these may be further updated from time to time in subsequent quarterly reports.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undertake no obligation to update or revise forward-looking statements to reflect changed assumptions, the occurrence of unanticipated events or changes in future operating results.</w:t>
      </w:r>
    </w:p>
    <w:p>
      <w:pPr>
        <w:pStyle w:val="TextBody"/>
        <w:bidi w:val="0"/>
        <w:spacing w:before="240" w:after="283"/>
        <w:jc w:val="left"/>
        <w:rPr>
          <w:rFonts w:ascii="Times New Roman" w:hAnsi="Times New Roman"/>
          <w:b/>
          <w:color w:val="000000"/>
          <w:sz w:val="20"/>
        </w:rPr>
      </w:pPr>
      <w:bookmarkStart w:id="12" w:name="item_3_quantitative"/>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to the Quantitative and Qualitative Disclosures about Market Risk previously disclosed in our annual report on Form 10-K for the year ended December 31, 2025.</w:t>
      </w:r>
    </w:p>
    <w:p>
      <w:pPr>
        <w:pStyle w:val="TextBody"/>
        <w:bidi w:val="0"/>
        <w:spacing w:before="240" w:after="283"/>
        <w:jc w:val="left"/>
        <w:rPr>
          <w:rFonts w:ascii="Times New Roman" w:hAnsi="Times New Roman"/>
          <w:b/>
          <w:color w:val="000000"/>
          <w:sz w:val="20"/>
        </w:rPr>
      </w:pPr>
      <w:bookmarkStart w:id="13" w:name="item_4_control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designed to provide reasonable assurance that information required to be disclosed in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end of the period covered by this report, our management evaluated, with the participation of our Chief Executive Officer and Chief Financial Officer, the effectiveness of our disclosure controls and procedures. Based on the evaluation, our Chief Executive Officer and Chief Financial Officer concluded that, as of the end of the period covered by this report, our disclosure controls and procedures were effective to provide reasonable assurance that the objectives of disclosure controls and procedures are met.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there were no changes in our internal control over financial reporting that have materially affected, or are reasonably likely to materially affect, our internal control over financial reporting, including any corrective actions with regard to material weaknesses.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
      <w:bookmarkEnd w:id="14"/>
      <w:r>
        <w:rPr>
          <w:rFonts w:ascii="Times New Roman" w:hAnsi="Times New Roman"/>
          <w:b/>
          <w:color w:val="000000"/>
          <w:sz w:val="20"/>
        </w:rPr>
        <w:t>PART II</w:t>
      </w:r>
    </w:p>
    <w:p>
      <w:pPr>
        <w:pStyle w:val="TextBody"/>
        <w:bidi w:val="0"/>
        <w:jc w:val="center"/>
        <w:rPr>
          <w:rFonts w:ascii="Times New Roman" w:hAnsi="Times New Roman"/>
          <w:b/>
          <w:color w:val="000000"/>
          <w:sz w:val="20"/>
        </w:rPr>
      </w:pPr>
      <w:bookmarkStart w:id="15" w:name="other_information"/>
      <w:bookmarkEnd w:id="15"/>
      <w:r>
        <w:rPr>
          <w:rFonts w:ascii="Times New Roman" w:hAnsi="Times New Roman"/>
          <w:b/>
          <w:color w:val="000000"/>
          <w:sz w:val="20"/>
        </w:rPr>
        <w:t>OTHER INFORMATION</w:t>
      </w:r>
    </w:p>
    <w:p>
      <w:pPr>
        <w:pStyle w:val="TextBody"/>
        <w:bidi w:val="0"/>
        <w:spacing w:before="240" w:after="283"/>
        <w:jc w:val="left"/>
        <w:rPr>
          <w:rFonts w:ascii="Times New Roman" w:hAnsi="Times New Roman"/>
          <w:b/>
          <w:color w:val="000000"/>
          <w:sz w:val="20"/>
        </w:rPr>
      </w:pPr>
      <w:bookmarkStart w:id="16" w:name="item_1_legal_proceedings"/>
      <w:bookmarkEnd w:id="16"/>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are involved in litigation relating to claims arising out of the ordinary course of business, and occasionally legal proceedings not in the ordinary course.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installations involve products that are critical to the operations of our clients’ businesses. Any failure in one of our products could result in a claim for substantial damages against us, regardless of our responsibility for such failure. Although we attempt to limit contractually our liability for damages arising from product failures or negligent acts or omissions, there can be no assurance that the limitations of liability set forth in our contracts will be enforceable in all instances.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litigation and other legal proceeding outcomes are inherently difficult to predict, we do not currently believe we are a party to any legal proceeding the result of which is likely to have a material adverse impact on our business, financial position, results of operations, or cash flows. A description of a lawsuit to which we are currently a party is included in Note 7 to the condensed consolidated financial statements in Part I, Item 1 of this quarterly report on Form 10-Q and are incorporated by reference. </w:t>
      </w:r>
    </w:p>
    <w:p>
      <w:pPr>
        <w:pStyle w:val="TextBody"/>
        <w:bidi w:val="0"/>
        <w:spacing w:before="24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information set forth in this report, you should carefully consider the risk factors disclosed in Item 1A, “Risk Factors,” of our annual report on Form 10-K for the year ended December 31, 2025, as supplemented by the risk factors disclosed in 1A, “Risk Factors,” of our quarterly report on Form 10-Q for the quarter ended March 31, 2026.</w:t>
      </w:r>
    </w:p>
    <w:p>
      <w:pPr>
        <w:pStyle w:val="TextBody"/>
        <w:bidi w:val="0"/>
        <w:spacing w:before="240" w:after="283"/>
        <w:jc w:val="left"/>
        <w:rPr>
          <w:rFonts w:ascii="Times New Roman" w:hAnsi="Times New Roman"/>
          <w:b/>
          <w:color w:val="000000"/>
          <w:sz w:val="20"/>
        </w:rPr>
      </w:pPr>
      <w:bookmarkStart w:id="18" w:name="item_2_unregistered_sales"/>
      <w:bookmarkEnd w:id="1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regarding common stock purchases under our publicly announced repurchase program for the quarter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3"/>
        <w:gridCol w:w="146"/>
        <w:gridCol w:w="216"/>
        <w:gridCol w:w="1161"/>
        <w:gridCol w:w="146"/>
        <w:gridCol w:w="146"/>
        <w:gridCol w:w="288"/>
        <w:gridCol w:w="924"/>
        <w:gridCol w:w="146"/>
        <w:gridCol w:w="146"/>
        <w:gridCol w:w="348"/>
        <w:gridCol w:w="1873"/>
        <w:gridCol w:w="146"/>
        <w:gridCol w:w="146"/>
        <w:gridCol w:w="465"/>
        <w:gridCol w:w="2519"/>
        <w:gridCol w:w="396"/>
      </w:tblGrid>
      <w:tr>
        <w:trPr/>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 Number (or Approximate Dollar Value) of Shares that May Yet Be Purchased Under the Plans or Programs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3"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 April 30, 2026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116,268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116,268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9"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333,801,419</w:t>
            </w:r>
          </w:p>
        </w:tc>
        <w:tc>
          <w:tcPr>
            <w:tcW w:w="39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277,586,216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3"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June 30, 2026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358,707</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87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358,707</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519"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225,017,084</w:t>
            </w:r>
          </w:p>
        </w:tc>
        <w:tc>
          <w:tcPr>
            <w:tcW w:w="396"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b/>
          <w:color w:val="000000"/>
          <w:sz w:val="20"/>
        </w:rPr>
      </w:pPr>
      <w:bookmarkStart w:id="19" w:name="item_3_defaults_upon"/>
      <w:bookmarkEnd w:id="19"/>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events occurred during the quarter covered by this report that would require a response to this item.</w:t>
      </w:r>
    </w:p>
    <w:p>
      <w:pPr>
        <w:pStyle w:val="TextBody"/>
        <w:bidi w:val="0"/>
        <w:spacing w:before="240" w:after="283"/>
        <w:jc w:val="left"/>
        <w:rPr>
          <w:rFonts w:ascii="Times New Roman" w:hAnsi="Times New Roman"/>
          <w:b/>
          <w:color w:val="000000"/>
          <w:sz w:val="20"/>
        </w:rPr>
      </w:pPr>
      <w:bookmarkStart w:id="20" w:name="item_4_mine_safety"/>
      <w:bookmarkEnd w:id="2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1" w:name="item_5_other_information"/>
      <w:bookmarkEnd w:id="21"/>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2026, no director or officer of the Company adopted or terminated a "Rule 10b5-1 trading agreement" or "non-Rule 10b5-1 trading arrangement," as each term is defined in item 408(a) of Regulation S-K.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987"/>
        <w:gridCol w:w="9218"/>
      </w:tblGrid>
      <w:tr>
        <w:trPr/>
        <w:tc>
          <w:tcPr>
            <w:tcW w:w="987" w:type="dxa"/>
            <w:tcBorders/>
            <w:vAlign w:val="center"/>
          </w:tcPr>
          <w:p>
            <w:pPr>
              <w:pStyle w:val="TableContents"/>
              <w:bidi w:val="0"/>
              <w:spacing w:before="0" w:after="283"/>
              <w:jc w:val="left"/>
              <w:rPr>
                <w:sz w:val="4"/>
                <w:szCs w:val="4"/>
              </w:rPr>
            </w:pPr>
            <w:r>
              <w:rPr>
                <w:sz w:val="4"/>
                <w:szCs w:val="4"/>
              </w:rPr>
            </w:r>
          </w:p>
        </w:tc>
        <w:tc>
          <w:tcPr>
            <w:tcW w:w="9218" w:type="dxa"/>
            <w:tcBorders/>
            <w:vAlign w:val="center"/>
          </w:tcPr>
          <w:p>
            <w:pPr>
              <w:pStyle w:val="TableContents"/>
              <w:bidi w:val="0"/>
              <w:spacing w:before="0" w:after="283"/>
              <w:jc w:val="left"/>
              <w:rPr>
                <w:sz w:val="4"/>
                <w:szCs w:val="4"/>
              </w:rPr>
            </w:pPr>
            <w:r>
              <w:rPr>
                <w:sz w:val="4"/>
                <w:szCs w:val="4"/>
              </w:rPr>
            </w:r>
          </w:p>
        </w:tc>
      </w:tr>
      <w:tr>
        <w:trPr/>
        <w:tc>
          <w:tcPr>
            <w:tcW w:w="987" w:type="dxa"/>
            <w:tcBorders/>
            <w:tcMar>
              <w:top w:w="0" w:type="dxa"/>
              <w:left w:w="0" w:type="dxa"/>
              <w:bottom w:w="0" w:type="dxa"/>
              <w:right w:w="0" w:type="dxa"/>
            </w:tcMar>
            <w:vAlign w:val="center"/>
          </w:tcPr>
          <w:p>
            <w:pPr>
              <w:pStyle w:val="TableContents"/>
              <w:bidi w:val="0"/>
              <w:spacing w:before="0" w:after="283"/>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7"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"https://www.sec.gov/Archives/edgar/data/1056696/000119312526140024/manh-20260402.htm" \l "appendixa_firstamendmenttoequityplan"</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Exhibit 10.1</w:t>
            </w:r>
            <w:r>
              <w:rPr>
                <w:rStyle w:val="InternetLink"/>
                <w:sz w:val="20"/>
                <w:u w:val="single"/>
                <w:rFonts w:ascii="Times New Roman" w:hAnsi="Times New Roman"/>
                <w:color w:val="0000FF"/>
              </w:rPr>
              <w:fldChar w:fldCharType="end"/>
            </w:r>
          </w:p>
        </w:tc>
        <w:tc>
          <w:tcPr>
            <w:tcW w:w="9218"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"https://www.sec.gov/Archives/edgar/data/1056696/000119312526140024/manh-20260402.htm" \l "appendixa_firstamendmenttoequityplan"</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First Amendment to Manhattan Associates, Inc. 2020 Equity Incentive Plan (incorporated by reference to Appendix A to the Company's Definitive Proxy Statement related to its 2026 Annual Meeting of Shareholders filed with the Securities and Exchange Commission on April 2, 2026 (Commission File No. 00-23999)).</w:t>
            </w:r>
            <w:r>
              <w:rPr>
                <w:rStyle w:val="InternetLink"/>
                <w:sz w:val="20"/>
                <w:u w:val="single"/>
                <w:rFonts w:ascii="Times New Roman" w:hAnsi="Times New Roman"/>
                <w:color w:val="0000FF"/>
              </w:rPr>
              <w:fldChar w:fldCharType="end"/>
            </w:r>
          </w:p>
        </w:tc>
      </w:tr>
      <w:tr>
        <w:trPr/>
        <w:tc>
          <w:tcPr>
            <w:tcW w:w="987" w:type="dxa"/>
            <w:tcBorders/>
            <w:tcMar>
              <w:top w:w="0" w:type="dxa"/>
              <w:left w:w="0" w:type="dxa"/>
              <w:bottom w:w="0" w:type="dxa"/>
              <w:right w:w="0" w:type="dxa"/>
            </w:tcMar>
            <w:vAlign w:val="center"/>
          </w:tcPr>
          <w:p>
            <w:pPr>
              <w:pStyle w:val="TableContents"/>
              <w:bidi w:val="0"/>
              <w:spacing w:before="0" w:after="283"/>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7" w:type="dxa"/>
            <w:tcBorders/>
            <w:tcMar>
              <w:top w:w="0" w:type="dxa"/>
              <w:left w:w="0" w:type="dxa"/>
              <w:bottom w:w="0" w:type="dxa"/>
              <w:right w:w="0" w:type="dxa"/>
            </w:tcMar>
            <w:vAlign w:val="center"/>
          </w:tcPr>
          <w:p>
            <w:pPr>
              <w:pStyle w:val="TableContents"/>
              <w:bidi w:val="0"/>
              <w:spacing w:before="0" w:after="283"/>
              <w:jc w:val="left"/>
              <w:rPr/>
            </w:pPr>
            <w:hyperlink w:anchor="manh-ex31_1.htm">
              <w:r>
                <w:rPr>
                  <w:rStyle w:val="InternetLink"/>
                  <w:rFonts w:ascii="Times New Roman" w:hAnsi="Times New Roman"/>
                  <w:color w:val="0000FF"/>
                  <w:sz w:val="20"/>
                  <w:u w:val="single"/>
                </w:rPr>
                <w:t>Exhibit 31.1</w:t>
              </w:r>
            </w:hyperlink>
          </w:p>
        </w:tc>
        <w:tc>
          <w:tcPr>
            <w:tcW w:w="9218" w:type="dxa"/>
            <w:tcBorders/>
            <w:tcMar>
              <w:top w:w="0" w:type="dxa"/>
              <w:left w:w="0" w:type="dxa"/>
              <w:bottom w:w="0" w:type="dxa"/>
              <w:right w:w="0" w:type="dxa"/>
            </w:tcMar>
            <w:vAlign w:val="center"/>
          </w:tcPr>
          <w:p>
            <w:pPr>
              <w:pStyle w:val="TableContents"/>
              <w:bidi w:val="0"/>
              <w:spacing w:before="0" w:after="283"/>
              <w:jc w:val="left"/>
              <w:rPr/>
            </w:pPr>
            <w:hyperlink w:anchor="manh-ex31_1.htm">
              <w:r>
                <w:rPr>
                  <w:rStyle w:val="InternetLink"/>
                  <w:rFonts w:ascii="Times New Roman" w:hAnsi="Times New Roman"/>
                  <w:color w:val="0000FF"/>
                  <w:sz w:val="20"/>
                  <w:u w:val="single"/>
                </w:rPr>
                <w:t>Certification of Principal Executive Officer pursuant to Rule 13a-14(a)/15d-14(a), as adopted pursuant to Section 302 of the Sarbanes-Oxley Act of 2002</w:t>
              </w:r>
            </w:hyperlink>
          </w:p>
        </w:tc>
      </w:tr>
      <w:tr>
        <w:trPr/>
        <w:tc>
          <w:tcPr>
            <w:tcW w:w="987" w:type="dxa"/>
            <w:tcBorders/>
            <w:tcMar>
              <w:top w:w="0" w:type="dxa"/>
              <w:left w:w="0" w:type="dxa"/>
              <w:bottom w:w="0" w:type="dxa"/>
              <w:right w:w="0" w:type="dxa"/>
            </w:tcMar>
            <w:vAlign w:val="center"/>
          </w:tcPr>
          <w:p>
            <w:pPr>
              <w:pStyle w:val="TableContents"/>
              <w:bidi w:val="0"/>
              <w:spacing w:before="0" w:after="283"/>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7" w:type="dxa"/>
            <w:tcBorders/>
            <w:tcMar>
              <w:top w:w="0" w:type="dxa"/>
              <w:left w:w="0" w:type="dxa"/>
              <w:bottom w:w="0" w:type="dxa"/>
              <w:right w:w="0" w:type="dxa"/>
            </w:tcMar>
            <w:vAlign w:val="center"/>
          </w:tcPr>
          <w:p>
            <w:pPr>
              <w:pStyle w:val="TableContents"/>
              <w:bidi w:val="0"/>
              <w:spacing w:before="0" w:after="283"/>
              <w:jc w:val="left"/>
              <w:rPr/>
            </w:pPr>
            <w:hyperlink w:anchor="manh-ex31_2.htm">
              <w:r>
                <w:rPr>
                  <w:rStyle w:val="InternetLink"/>
                  <w:rFonts w:ascii="Times New Roman" w:hAnsi="Times New Roman"/>
                  <w:color w:val="0000FF"/>
                  <w:sz w:val="20"/>
                  <w:u w:val="single"/>
                </w:rPr>
                <w:t>Exhibit 31.2</w:t>
              </w:r>
            </w:hyperlink>
          </w:p>
        </w:tc>
        <w:tc>
          <w:tcPr>
            <w:tcW w:w="9218" w:type="dxa"/>
            <w:tcBorders/>
            <w:tcMar>
              <w:top w:w="0" w:type="dxa"/>
              <w:left w:w="0" w:type="dxa"/>
              <w:bottom w:w="0" w:type="dxa"/>
              <w:right w:w="0" w:type="dxa"/>
            </w:tcMar>
            <w:vAlign w:val="center"/>
          </w:tcPr>
          <w:p>
            <w:pPr>
              <w:pStyle w:val="TableContents"/>
              <w:bidi w:val="0"/>
              <w:spacing w:before="0" w:after="283"/>
              <w:jc w:val="left"/>
              <w:rPr/>
            </w:pPr>
            <w:hyperlink w:anchor="manh-ex31_2.htm">
              <w:r>
                <w:rPr>
                  <w:rStyle w:val="InternetLink"/>
                  <w:rFonts w:ascii="Times New Roman" w:hAnsi="Times New Roman"/>
                  <w:color w:val="0000FF"/>
                  <w:sz w:val="20"/>
                  <w:u w:val="single"/>
                </w:rPr>
                <w:t>Certification of Principal Financial Officer pursuant to Rule 13a-14(a)/15d-14(a), as adopted pursuant to Section 302 of the Sarbanes-Oxley Act of 2002</w:t>
              </w:r>
            </w:hyperlink>
          </w:p>
        </w:tc>
      </w:tr>
      <w:tr>
        <w:trPr/>
        <w:tc>
          <w:tcPr>
            <w:tcW w:w="987" w:type="dxa"/>
            <w:tcBorders/>
            <w:tcMar>
              <w:top w:w="0" w:type="dxa"/>
              <w:left w:w="0" w:type="dxa"/>
              <w:bottom w:w="0" w:type="dxa"/>
              <w:right w:w="0" w:type="dxa"/>
            </w:tcMar>
            <w:vAlign w:val="center"/>
          </w:tcPr>
          <w:p>
            <w:pPr>
              <w:pStyle w:val="TableContents"/>
              <w:bidi w:val="0"/>
              <w:spacing w:before="0" w:after="283"/>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7" w:type="dxa"/>
            <w:tcBorders/>
            <w:tcMar>
              <w:top w:w="0" w:type="dxa"/>
              <w:left w:w="0" w:type="dxa"/>
              <w:bottom w:w="0" w:type="dxa"/>
              <w:right w:w="0" w:type="dxa"/>
            </w:tcMar>
            <w:vAlign w:val="center"/>
          </w:tcPr>
          <w:p>
            <w:pPr>
              <w:pStyle w:val="TableContents"/>
              <w:bidi w:val="0"/>
              <w:spacing w:before="0" w:after="283"/>
              <w:jc w:val="left"/>
              <w:rPr/>
            </w:pPr>
            <w:hyperlink w:anchor="manh-ex32.htm">
              <w:r>
                <w:rPr>
                  <w:rStyle w:val="InternetLink"/>
                  <w:rFonts w:ascii="Times New Roman" w:hAnsi="Times New Roman"/>
                  <w:color w:val="0000FF"/>
                  <w:sz w:val="20"/>
                  <w:u w:val="single"/>
                </w:rPr>
                <w:t>Exhibit 32*</w:t>
              </w:r>
            </w:hyperlink>
          </w:p>
        </w:tc>
        <w:tc>
          <w:tcPr>
            <w:tcW w:w="9218" w:type="dxa"/>
            <w:tcBorders/>
            <w:tcMar>
              <w:top w:w="0" w:type="dxa"/>
              <w:left w:w="0" w:type="dxa"/>
              <w:bottom w:w="0" w:type="dxa"/>
              <w:right w:w="0" w:type="dxa"/>
            </w:tcMar>
            <w:vAlign w:val="center"/>
          </w:tcPr>
          <w:p>
            <w:pPr>
              <w:pStyle w:val="TableContents"/>
              <w:bidi w:val="0"/>
              <w:spacing w:before="0" w:after="283"/>
              <w:jc w:val="left"/>
              <w:rPr/>
            </w:pPr>
            <w:hyperlink w:anchor="manh-ex32.htm">
              <w:r>
                <w:rPr>
                  <w:rStyle w:val="InternetLink"/>
                  <w:rFonts w:ascii="Times New Roman" w:hAnsi="Times New Roman"/>
                  <w:color w:val="0000FF"/>
                  <w:sz w:val="20"/>
                  <w:u w:val="single"/>
                </w:rPr>
                <w:t>Certification of Chief Executive Officer and Chief Financial Officer pursuant to 18 U.S.C. Section 1350, as adopted pursuant to Section 906 of the Sarbanes-Oxley Act of 2002</w:t>
              </w:r>
            </w:hyperlink>
          </w:p>
        </w:tc>
      </w:tr>
      <w:tr>
        <w:trPr/>
        <w:tc>
          <w:tcPr>
            <w:tcW w:w="987" w:type="dxa"/>
            <w:tcBorders/>
            <w:tcMar>
              <w:top w:w="0" w:type="dxa"/>
              <w:left w:w="0" w:type="dxa"/>
              <w:bottom w:w="0" w:type="dxa"/>
              <w:right w:w="0" w:type="dxa"/>
            </w:tcMar>
            <w:vAlign w:val="center"/>
          </w:tcPr>
          <w:p>
            <w:pPr>
              <w:pStyle w:val="TableContents"/>
              <w:bidi w:val="0"/>
              <w:spacing w:before="0" w:after="283"/>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101.INS</w:t>
            </w:r>
          </w:p>
        </w:tc>
        <w:tc>
          <w:tcPr>
            <w:tcW w:w="92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987" w:type="dxa"/>
            <w:tcBorders/>
            <w:tcMar>
              <w:top w:w="0" w:type="dxa"/>
              <w:left w:w="0" w:type="dxa"/>
              <w:bottom w:w="0" w:type="dxa"/>
              <w:right w:w="0" w:type="dxa"/>
            </w:tcMar>
            <w:vAlign w:val="center"/>
          </w:tcPr>
          <w:p>
            <w:pPr>
              <w:pStyle w:val="TableContents"/>
              <w:bidi w:val="0"/>
              <w:spacing w:before="0" w:after="283"/>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101.SCH</w:t>
            </w:r>
          </w:p>
        </w:tc>
        <w:tc>
          <w:tcPr>
            <w:tcW w:w="92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987" w:type="dxa"/>
            <w:tcBorders/>
            <w:tcMar>
              <w:top w:w="0" w:type="dxa"/>
              <w:left w:w="0" w:type="dxa"/>
              <w:bottom w:w="0" w:type="dxa"/>
              <w:right w:w="0" w:type="dxa"/>
            </w:tcMar>
            <w:vAlign w:val="center"/>
          </w:tcPr>
          <w:p>
            <w:pPr>
              <w:pStyle w:val="TableContents"/>
              <w:bidi w:val="0"/>
              <w:spacing w:before="0" w:after="283"/>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101.CAL</w:t>
            </w:r>
          </w:p>
        </w:tc>
        <w:tc>
          <w:tcPr>
            <w:tcW w:w="92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987" w:type="dxa"/>
            <w:tcBorders/>
            <w:tcMar>
              <w:top w:w="0" w:type="dxa"/>
              <w:left w:w="0" w:type="dxa"/>
              <w:bottom w:w="0" w:type="dxa"/>
              <w:right w:w="0" w:type="dxa"/>
            </w:tcMar>
            <w:vAlign w:val="center"/>
          </w:tcPr>
          <w:p>
            <w:pPr>
              <w:pStyle w:val="TableContents"/>
              <w:bidi w:val="0"/>
              <w:spacing w:before="0" w:after="283"/>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101.DEF</w:t>
            </w:r>
          </w:p>
        </w:tc>
        <w:tc>
          <w:tcPr>
            <w:tcW w:w="92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987" w:type="dxa"/>
            <w:tcBorders/>
            <w:tcMar>
              <w:top w:w="0" w:type="dxa"/>
              <w:left w:w="0" w:type="dxa"/>
              <w:bottom w:w="0" w:type="dxa"/>
              <w:right w:w="0" w:type="dxa"/>
            </w:tcMar>
            <w:vAlign w:val="center"/>
          </w:tcPr>
          <w:p>
            <w:pPr>
              <w:pStyle w:val="TableContents"/>
              <w:bidi w:val="0"/>
              <w:spacing w:before="0" w:after="283"/>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101.LAB</w:t>
            </w:r>
          </w:p>
        </w:tc>
        <w:tc>
          <w:tcPr>
            <w:tcW w:w="92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987" w:type="dxa"/>
            <w:tcBorders/>
            <w:tcMar>
              <w:top w:w="0" w:type="dxa"/>
              <w:left w:w="0" w:type="dxa"/>
              <w:bottom w:w="0" w:type="dxa"/>
              <w:right w:w="0" w:type="dxa"/>
            </w:tcMar>
            <w:vAlign w:val="center"/>
          </w:tcPr>
          <w:p>
            <w:pPr>
              <w:pStyle w:val="TableContents"/>
              <w:bidi w:val="0"/>
              <w:spacing w:before="0" w:after="283"/>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101.PRE</w:t>
            </w:r>
          </w:p>
        </w:tc>
        <w:tc>
          <w:tcPr>
            <w:tcW w:w="92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987" w:type="dxa"/>
            <w:tcBorders/>
            <w:tcMar>
              <w:top w:w="0" w:type="dxa"/>
              <w:left w:w="0" w:type="dxa"/>
              <w:bottom w:w="0" w:type="dxa"/>
              <w:right w:w="0" w:type="dxa"/>
            </w:tcMar>
            <w:vAlign w:val="center"/>
          </w:tcPr>
          <w:p>
            <w:pPr>
              <w:pStyle w:val="TableContents"/>
              <w:bidi w:val="0"/>
              <w:spacing w:before="0" w:after="283"/>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104</w:t>
            </w:r>
          </w:p>
        </w:tc>
        <w:tc>
          <w:tcPr>
            <w:tcW w:w="92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June 30, 2026, has been formatted in Inline XBRL.</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 accordance with Item 601(b)(32)(ii) of the SEC’s Regulation S-K, this Exhibit is hereby furnished to the SEC as an accompanying document and is not deemed “filed” for purposes of Section 18 of the Securities Exchange Act of 1934 or otherwise subject to the liabilities of that Section, nor shall it be deemed incorporated by reference into any filing under the Securities Act of 1933.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MANHATTAN ASSOCIATES, INC.</w:t>
      </w:r>
    </w:p>
    <w:p>
      <w:pPr>
        <w:pStyle w:val="TextBody"/>
        <w:bidi w:val="0"/>
        <w:jc w:val="left"/>
        <w:rPr/>
      </w:pPr>
      <w:r>
        <w:rPr/>
        <w:t> </w:t>
      </w:r>
    </w:p>
    <w:tbl>
      <w:tblPr>
        <w:tblW w:w="6078" w:type="dxa"/>
        <w:jc w:val="left"/>
        <w:tblInd w:w="0" w:type="dxa"/>
        <w:tblLayout w:type="fixed"/>
        <w:tblCellMar>
          <w:top w:w="28" w:type="dxa"/>
          <w:left w:w="28" w:type="dxa"/>
          <w:bottom w:w="28" w:type="dxa"/>
          <w:right w:w="28" w:type="dxa"/>
        </w:tblCellMar>
      </w:tblPr>
      <w:tblGrid>
        <w:gridCol w:w="1021"/>
        <w:gridCol w:w="1216"/>
        <w:gridCol w:w="3841"/>
      </w:tblGrid>
      <w:tr>
        <w:trPr/>
        <w:tc>
          <w:tcPr>
            <w:tcW w:w="102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Date: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31, 2026</w:t>
            </w:r>
          </w:p>
        </w:tc>
        <w:tc>
          <w:tcPr>
            <w:tcW w:w="384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A. Clark</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Eric A. Clark</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(Principal Executive Officer)</w:t>
            </w:r>
          </w:p>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31, 2026</w:t>
            </w:r>
          </w:p>
        </w:tc>
        <w:tc>
          <w:tcPr>
            <w:tcW w:w="384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Linda Pinne</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Linda Pinne</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Financial Officer</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bookmarkStart w:id="24" w:name="manh-ex31_1.htm"/>
      <w:bookmarkStart w:id="25" w:name="ksmanhex31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13a-14(a)/15d-14(a),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Eric A. Clark,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sz w:val="20"/>
        </w:rPr>
      </w:pPr>
      <w:r>
        <w:rPr>
          <w:rFonts w:ascii="Times New Roman" w:hAnsi="Times New Roman"/>
          <w:color w:val="000000"/>
          <w:sz w:val="20"/>
        </w:rPr>
        <w:t>Dated this 31</w:t>
      </w:r>
      <w:r>
        <w:rPr>
          <w:rFonts w:ascii="Times New Roman" w:hAnsi="Times New Roman"/>
          <w:color w:val="000000"/>
          <w:sz w:val="13"/>
        </w:rPr>
        <w:t>st</w:t>
      </w:r>
      <w:r>
        <w:rPr>
          <w:rFonts w:ascii="Times New Roman" w:hAnsi="Times New Roman"/>
          <w:color w:val="000000"/>
          <w:sz w:val="20"/>
        </w:rPr>
        <w:t xml:space="preserve"> day of July, 2026</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A. Clark</w:t>
            </w:r>
          </w:p>
        </w:tc>
      </w:tr>
      <w:tr>
        <w:trPr/>
        <w:tc>
          <w:tcPr>
            <w:tcW w:w="322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Eric A. Clark</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manh-ex31_2.htm"/>
      <w:bookmarkStart w:id="27" w:name="ksmanh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13a-14(a)/15d-14(a),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Linda Pinne,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sz w:val="20"/>
        </w:rPr>
      </w:pPr>
      <w:r>
        <w:rPr>
          <w:rFonts w:ascii="Times New Roman" w:hAnsi="Times New Roman"/>
          <w:color w:val="000000"/>
          <w:sz w:val="20"/>
        </w:rPr>
        <w:t>Dated this 31</w:t>
      </w:r>
      <w:r>
        <w:rPr>
          <w:rFonts w:ascii="Times New Roman" w:hAnsi="Times New Roman"/>
          <w:color w:val="000000"/>
          <w:sz w:val="13"/>
        </w:rPr>
        <w:t>st</w:t>
      </w:r>
      <w:r>
        <w:rPr>
          <w:rFonts w:ascii="Times New Roman" w:hAnsi="Times New Roman"/>
          <w:color w:val="000000"/>
          <w:sz w:val="20"/>
        </w:rPr>
        <w:t xml:space="preserve"> day of July, 2026</w:t>
      </w:r>
    </w:p>
    <w:p>
      <w:pPr>
        <w:pStyle w:val="TextBody"/>
        <w:bidi w:val="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283"/>
              <w:jc w:val="left"/>
              <w:rPr>
                <w:sz w:val="4"/>
                <w:szCs w:val="4"/>
              </w:rPr>
            </w:pPr>
            <w:r>
              <w:rPr>
                <w:sz w:val="4"/>
                <w:szCs w:val="4"/>
              </w:rPr>
            </w:r>
          </w:p>
        </w:tc>
      </w:tr>
      <w:tr>
        <w:trPr/>
        <w:tc>
          <w:tcPr>
            <w:tcW w:w="38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Linda Pinne</w:t>
            </w:r>
          </w:p>
        </w:tc>
      </w:tr>
      <w:tr>
        <w:trPr/>
        <w:tc>
          <w:tcPr>
            <w:tcW w:w="385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Linda Pinne</w:t>
            </w:r>
          </w:p>
          <w:p>
            <w:pPr>
              <w:pStyle w:val="TableContents"/>
              <w:bidi w:val="0"/>
              <w:jc w:val="left"/>
              <w:rPr>
                <w:rFonts w:ascii="Times New Roman" w:hAnsi="Times New Roman"/>
                <w:color w:val="000000"/>
                <w:sz w:val="20"/>
              </w:rPr>
            </w:pPr>
            <w:r>
              <w:rPr>
                <w:rFonts w:ascii="Times New Roman" w:hAnsi="Times New Roman"/>
                <w:color w:val="000000"/>
                <w:sz w:val="20"/>
              </w:rPr>
              <w:t>Senior Vice President, Chief Financial Officer</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manh-ex32.htm"/>
      <w:bookmarkStart w:id="29" w:name="ksmanhex32"/>
      <w:bookmarkEnd w:id="28"/>
      <w:bookmarkEnd w:id="29"/>
      <w:r>
        <w:rPr>
          <w:rFonts w:ascii="Times New Roman" w:hAnsi="Times New Roman"/>
          <w:b/>
          <w:color w:val="000000"/>
          <w:sz w:val="20"/>
        </w:rPr>
        <w:t>Exhibit 32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Certificate is being delivered pursuant to the requirements of Section 1350 of Chapter 63 (Mail Fraud) of Title 18 (Crimes and Criminal Procedures) of the United States Code and shall not be relied on by any person for any other purpose.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who are the Chief Executive Officer and Chief Financial Officer, respectively, of Manhattan Associates, Inc. (the “Company”), hereby each certify that, to the undersigned’s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Quarterly Report on Form 10-Q of the Company for the quarterly period ended June 30, 2026 (the “Report”), which accompanies this Certification, fully complies with the requirements of Section 13(a) or 15(d) of the Securities Exchange Act of 1934, and all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sz w:val="20"/>
        </w:rPr>
      </w:pPr>
      <w:r>
        <w:rPr>
          <w:rFonts w:ascii="Times New Roman" w:hAnsi="Times New Roman"/>
          <w:color w:val="000000"/>
          <w:sz w:val="20"/>
        </w:rPr>
        <w:t>Dated this 31</w:t>
      </w:r>
      <w:r>
        <w:rPr>
          <w:rFonts w:ascii="Times New Roman" w:hAnsi="Times New Roman"/>
          <w:color w:val="000000"/>
          <w:sz w:val="13"/>
        </w:rPr>
        <w:t>st</w:t>
      </w:r>
      <w:r>
        <w:rPr>
          <w:rFonts w:ascii="Times New Roman" w:hAnsi="Times New Roman"/>
          <w:color w:val="000000"/>
          <w:sz w:val="20"/>
        </w:rPr>
        <w:t xml:space="preserve"> day of July, 2026</w:t>
      </w:r>
    </w:p>
    <w:p>
      <w:pPr>
        <w:pStyle w:val="TextBody"/>
        <w:bidi w:val="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283"/>
              <w:jc w:val="left"/>
              <w:rPr>
                <w:sz w:val="4"/>
                <w:szCs w:val="4"/>
              </w:rPr>
            </w:pPr>
            <w:r>
              <w:rPr>
                <w:sz w:val="4"/>
                <w:szCs w:val="4"/>
              </w:rPr>
            </w:r>
          </w:p>
        </w:tc>
      </w:tr>
      <w:tr>
        <w:trPr/>
        <w:tc>
          <w:tcPr>
            <w:tcW w:w="38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A. Clark</w:t>
            </w:r>
          </w:p>
        </w:tc>
      </w:tr>
      <w:tr>
        <w:trPr/>
        <w:tc>
          <w:tcPr>
            <w:tcW w:w="385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Eric A. Clark</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856"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Linda Pinne</w:t>
            </w:r>
          </w:p>
        </w:tc>
      </w:tr>
      <w:tr>
        <w:trPr/>
        <w:tc>
          <w:tcPr>
            <w:tcW w:w="385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Linda Pinne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SEC Release No. 34-47986, this Exhibit is furnished to the SEC as an accompanying document and is not deemed “filed” for purposes of Section 18 of the Securities Exchange Act of 1934 or otherwise subject to the liabilities of that Section, nor shall it be deemed incorporated by reference into any filing under the Securities Act of 1933. A signed original of this written statement required by Section 906 of the Sarbanes-Oxley Act of 2002 has been provided to the registrant and will be retained by the registrant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17207</Words>
  <Characters>94540</Characters>
  <CharactersWithSpaces>113450</CharactersWithSpaces>
  <Paragraphs>6436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