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anh-20260729.htm"/>
      <w:bookmarkStart w:id="1" w:name="ksmanh20260729"/>
      <w:bookmarkEnd w:id="0"/>
      <w:bookmarkEnd w:id="1"/>
      <w:r>
        <w:rPr/>
        <w:t> </w:t>
      </w:r>
    </w:p>
    <w:p>
      <w:pPr>
        <w:pStyle w:val="TextBody"/>
        <w:bidi w:val="0"/>
        <w:jc w:val="left"/>
        <w:rPr/>
      </w:pPr>
      <w:r>
        <w:rPr/>
        <w:t> </w:t>
      </w:r>
    </w:p>
    <w:tbl>
      <w:tblPr>
        <w:tblW w:w="8552" w:type="dxa"/>
        <w:jc w:val="left"/>
        <w:tblInd w:w="0" w:type="dxa"/>
        <w:tblLayout w:type="fixed"/>
        <w:tblCellMar>
          <w:top w:w="28" w:type="dxa"/>
          <w:left w:w="28" w:type="dxa"/>
          <w:bottom w:w="28" w:type="dxa"/>
          <w:right w:w="28" w:type="dxa"/>
        </w:tblCellMar>
      </w:tblPr>
      <w:tblGrid>
        <w:gridCol w:w="6451"/>
        <w:gridCol w:w="2101"/>
      </w:tblGrid>
      <w:tr>
        <w:trPr/>
        <w:tc>
          <w:tcPr>
            <w:tcW w:w="645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 filed with the Securities and Exchange Commission on July 31, 2026.</w:t>
            </w:r>
          </w:p>
        </w:tc>
        <w:tc>
          <w:tcPr>
            <w:tcW w:w="21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File No. 333-________</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UNITED STATES</w:t>
      </w:r>
    </w:p>
    <w:p>
      <w:pPr>
        <w:pStyle w:val="TextBody"/>
        <w:bidi w:val="0"/>
        <w:jc w:val="center"/>
        <w:rPr>
          <w:rFonts w:ascii="Arial" w:hAnsi="Arial"/>
          <w:b/>
          <w:color w:val="000000"/>
          <w:sz w:val="20"/>
        </w:rPr>
      </w:pPr>
      <w:r>
        <w:rPr>
          <w:rFonts w:ascii="Arial" w:hAnsi="Arial"/>
          <w:b/>
          <w:color w:val="000000"/>
          <w:sz w:val="20"/>
        </w:rPr>
        <w:t>SECURITIES AND EXCHANGE COMMISSION</w:t>
      </w:r>
    </w:p>
    <w:p>
      <w:pPr>
        <w:pStyle w:val="TextBody"/>
        <w:bidi w:val="0"/>
        <w:jc w:val="center"/>
        <w:rPr>
          <w:rFonts w:ascii="Arial" w:hAnsi="Arial"/>
          <w:color w:val="000000"/>
          <w:sz w:val="20"/>
        </w:rPr>
      </w:pPr>
      <w:r>
        <w:rPr>
          <w:rFonts w:ascii="Arial" w:hAnsi="Arial"/>
          <w:color w:val="000000"/>
          <w:sz w:val="20"/>
        </w:rPr>
        <w:t>WASHINGTON, D.C. 20549</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Arial" w:hAnsi="Arial"/>
          <w:b/>
          <w:color w:val="000000"/>
          <w:sz w:val="32"/>
        </w:rPr>
      </w:pPr>
      <w:r>
        <w:rPr>
          <w:rFonts w:ascii="Arial" w:hAnsi="Arial"/>
          <w:b/>
          <w:color w:val="000000"/>
          <w:sz w:val="32"/>
        </w:rPr>
        <w:t>FORM S-8</w:t>
      </w:r>
    </w:p>
    <w:p>
      <w:pPr>
        <w:pStyle w:val="TextBody"/>
        <w:bidi w:val="0"/>
        <w:jc w:val="center"/>
        <w:rPr>
          <w:rFonts w:ascii="Arial" w:hAnsi="Arial"/>
          <w:b/>
          <w:color w:val="000000"/>
          <w:sz w:val="20"/>
        </w:rPr>
      </w:pPr>
      <w:r>
        <w:rPr>
          <w:rFonts w:ascii="Arial" w:hAnsi="Arial"/>
          <w:b/>
          <w:color w:val="000000"/>
          <w:sz w:val="20"/>
        </w:rPr>
        <w:t>REGISTRATION STATEMENT UNDER THE SECURITIES ACT OF 1933</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MANHATTAN ASSOCIATES, INC.</w:t>
      </w:r>
    </w:p>
    <w:p>
      <w:pPr>
        <w:pStyle w:val="TextBody"/>
        <w:bidi w:val="0"/>
        <w:jc w:val="center"/>
        <w:rPr>
          <w:rFonts w:ascii="Arial" w:hAnsi="Arial"/>
          <w:i/>
          <w:color w:val="000000"/>
          <w:sz w:val="20"/>
        </w:rPr>
      </w:pPr>
      <w:r>
        <w:rPr>
          <w:rFonts w:ascii="Arial" w:hAnsi="Arial"/>
          <w:i/>
          <w:color w:val="000000"/>
          <w:sz w:val="20"/>
        </w:rPr>
        <w:t>(Exact Name of Registrant as Specified in its Charter)</w:t>
      </w:r>
    </w:p>
    <w:tbl>
      <w:tblPr>
        <w:tblW w:w="4513" w:type="dxa"/>
        <w:jc w:val="left"/>
        <w:tblInd w:w="0" w:type="dxa"/>
        <w:tblLayout w:type="fixed"/>
        <w:tblCellMar>
          <w:top w:w="28" w:type="dxa"/>
          <w:left w:w="28" w:type="dxa"/>
          <w:bottom w:w="28" w:type="dxa"/>
          <w:right w:w="28" w:type="dxa"/>
        </w:tblCellMar>
      </w:tblPr>
      <w:tblGrid>
        <w:gridCol w:w="2686"/>
        <w:gridCol w:w="146"/>
        <w:gridCol w:w="168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Georgia</w:t>
            </w:r>
          </w:p>
          <w:p>
            <w:pPr>
              <w:pStyle w:val="TableContents"/>
              <w:bidi w:val="0"/>
              <w:jc w:val="center"/>
              <w:rPr>
                <w:rFonts w:ascii="Arial" w:hAnsi="Arial"/>
                <w:i/>
                <w:color w:val="000000"/>
                <w:sz w:val="20"/>
              </w:rPr>
            </w:pPr>
            <w:r>
              <w:rPr>
                <w:rFonts w:ascii="Arial" w:hAnsi="Arial"/>
                <w:i/>
                <w:color w:val="000000"/>
                <w:sz w:val="20"/>
              </w:rPr>
              <w:t>(State or Other Jurisdiction of</w:t>
            </w:r>
          </w:p>
          <w:p>
            <w:pPr>
              <w:pStyle w:val="TableContents"/>
              <w:bidi w:val="0"/>
              <w:spacing w:before="0" w:after="283"/>
              <w:jc w:val="center"/>
              <w:rPr>
                <w:rFonts w:ascii="Arial" w:hAnsi="Arial"/>
                <w:i/>
                <w:color w:val="000000"/>
                <w:sz w:val="20"/>
              </w:rPr>
            </w:pPr>
            <w:r>
              <w:rPr>
                <w:rFonts w:ascii="Arial" w:hAnsi="Arial"/>
                <w:i/>
                <w:color w:val="000000"/>
                <w:sz w:val="20"/>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58-2373424</w:t>
            </w:r>
          </w:p>
          <w:p>
            <w:pPr>
              <w:pStyle w:val="TableContents"/>
              <w:bidi w:val="0"/>
              <w:jc w:val="center"/>
              <w:rPr>
                <w:rFonts w:ascii="Arial" w:hAnsi="Arial"/>
                <w:i/>
                <w:color w:val="000000"/>
                <w:sz w:val="20"/>
              </w:rPr>
            </w:pPr>
            <w:r>
              <w:rPr>
                <w:rFonts w:ascii="Arial" w:hAnsi="Arial"/>
                <w:i/>
                <w:color w:val="000000"/>
                <w:sz w:val="20"/>
              </w:rPr>
              <w:t>(I.R.S. Employer</w:t>
            </w:r>
          </w:p>
          <w:p>
            <w:pPr>
              <w:pStyle w:val="TableContents"/>
              <w:bidi w:val="0"/>
              <w:spacing w:before="0" w:after="283"/>
              <w:jc w:val="center"/>
              <w:rPr>
                <w:rFonts w:ascii="Arial" w:hAnsi="Arial"/>
                <w:i/>
                <w:color w:val="000000"/>
                <w:sz w:val="20"/>
              </w:rPr>
            </w:pPr>
            <w:r>
              <w:rPr>
                <w:rFonts w:ascii="Arial" w:hAnsi="Arial"/>
                <w:i/>
                <w:color w:val="000000"/>
                <w:sz w:val="20"/>
              </w:rPr>
              <w:t>Identification No.)</w:t>
            </w:r>
          </w:p>
        </w:tc>
      </w:tr>
    </w:tbl>
    <w:p>
      <w:pPr>
        <w:pStyle w:val="TextBody"/>
        <w:bidi w:val="0"/>
        <w:jc w:val="center"/>
        <w:rPr/>
      </w:pPr>
      <w:r>
        <w:rPr/>
        <w:t> </w:t>
      </w:r>
    </w:p>
    <w:tbl>
      <w:tblPr>
        <w:tblW w:w="6556" w:type="dxa"/>
        <w:jc w:val="left"/>
        <w:tblInd w:w="0" w:type="dxa"/>
        <w:tblLayout w:type="fixed"/>
        <w:tblCellMar>
          <w:top w:w="28" w:type="dxa"/>
          <w:left w:w="28" w:type="dxa"/>
          <w:bottom w:w="28" w:type="dxa"/>
          <w:right w:w="28" w:type="dxa"/>
        </w:tblCellMar>
      </w:tblPr>
      <w:tblGrid>
        <w:gridCol w:w="6556"/>
      </w:tblGrid>
      <w:tr>
        <w:trPr/>
        <w:tc>
          <w:tcPr>
            <w:tcW w:w="6556" w:type="dxa"/>
            <w:tcBorders/>
            <w:vAlign w:val="center"/>
          </w:tcPr>
          <w:p>
            <w:pPr>
              <w:pStyle w:val="TableContents"/>
              <w:bidi w:val="0"/>
              <w:spacing w:before="0" w:after="283"/>
              <w:jc w:val="left"/>
              <w:rPr>
                <w:sz w:val="4"/>
                <w:szCs w:val="4"/>
              </w:rPr>
            </w:pPr>
            <w:r>
              <w:rPr>
                <w:sz w:val="4"/>
                <w:szCs w:val="4"/>
              </w:rPr>
            </w:r>
          </w:p>
        </w:tc>
      </w:tr>
      <w:tr>
        <w:trPr/>
        <w:tc>
          <w:tcPr>
            <w:tcW w:w="6556"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2300 Windy Ridge Parkway, Tenth Floor</w:t>
            </w:r>
          </w:p>
          <w:p>
            <w:pPr>
              <w:pStyle w:val="TableContents"/>
              <w:bidi w:val="0"/>
              <w:jc w:val="center"/>
              <w:rPr>
                <w:rFonts w:ascii="Times New Roman" w:hAnsi="Times New Roman"/>
                <w:sz w:val="20"/>
              </w:rPr>
            </w:pPr>
            <w:r>
              <w:rPr>
                <w:rFonts w:ascii="Arial" w:hAnsi="Arial"/>
                <w:b/>
                <w:color w:val="000000"/>
                <w:sz w:val="20"/>
              </w:rPr>
              <w:t>Atlanta, GA 30339</w:t>
            </w:r>
            <w:r>
              <w:rPr>
                <w:rFonts w:ascii="Times New Roman" w:hAnsi="Times New Roman"/>
                <w:color w:val="000000"/>
                <w:sz w:val="20"/>
              </w:rPr>
              <w:t xml:space="preserve"> </w:t>
            </w:r>
          </w:p>
          <w:p>
            <w:pPr>
              <w:pStyle w:val="TableContents"/>
              <w:bidi w:val="0"/>
              <w:spacing w:before="0" w:after="283"/>
              <w:jc w:val="center"/>
              <w:rPr>
                <w:rFonts w:ascii="Arial" w:hAnsi="Arial"/>
                <w:i/>
                <w:color w:val="000000"/>
                <w:sz w:val="20"/>
              </w:rPr>
            </w:pPr>
            <w:r>
              <w:rPr>
                <w:rFonts w:ascii="Arial" w:hAnsi="Arial"/>
                <w:i/>
                <w:color w:val="000000"/>
                <w:sz w:val="20"/>
              </w:rPr>
              <w:t>(Address, Including Zip Code, of Registrant’s Principal Executive Offices)</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MANHATTAN ASSOCIATES, INC. 2020 EQUITY INCENTIVE PLAN</w:t>
      </w:r>
    </w:p>
    <w:p>
      <w:pPr>
        <w:pStyle w:val="TextBody"/>
        <w:bidi w:val="0"/>
        <w:spacing w:before="0" w:after="120"/>
        <w:jc w:val="center"/>
        <w:rPr>
          <w:rFonts w:ascii="Arial" w:hAnsi="Arial"/>
          <w:i/>
          <w:color w:val="000000"/>
          <w:sz w:val="20"/>
        </w:rPr>
      </w:pPr>
      <w:r>
        <w:rPr>
          <w:rFonts w:ascii="Arial" w:hAnsi="Arial"/>
          <w:i/>
          <w:color w:val="000000"/>
          <w:sz w:val="20"/>
        </w:rPr>
        <w:t>(Full Title of the Plan)</w:t>
      </w:r>
    </w:p>
    <w:tbl>
      <w:tblPr>
        <w:tblW w:w="7562" w:type="dxa"/>
        <w:jc w:val="left"/>
        <w:tblInd w:w="0" w:type="dxa"/>
        <w:tblLayout w:type="fixed"/>
        <w:tblCellMar>
          <w:top w:w="28" w:type="dxa"/>
          <w:left w:w="28" w:type="dxa"/>
          <w:bottom w:w="28" w:type="dxa"/>
          <w:right w:w="28" w:type="dxa"/>
        </w:tblCellMar>
      </w:tblPr>
      <w:tblGrid>
        <w:gridCol w:w="3826"/>
        <w:gridCol w:w="3736"/>
      </w:tblGrid>
      <w:tr>
        <w:trPr/>
        <w:tc>
          <w:tcPr>
            <w:tcW w:w="3826"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Bruce S. Richards</w:t>
            </w:r>
          </w:p>
          <w:p>
            <w:pPr>
              <w:pStyle w:val="TableContents"/>
              <w:bidi w:val="0"/>
              <w:jc w:val="center"/>
              <w:rPr>
                <w:rFonts w:ascii="Arial" w:hAnsi="Arial"/>
                <w:b/>
                <w:color w:val="000000"/>
                <w:sz w:val="20"/>
              </w:rPr>
            </w:pPr>
            <w:r>
              <w:rPr>
                <w:rFonts w:ascii="Arial" w:hAnsi="Arial"/>
                <w:b/>
                <w:color w:val="000000"/>
                <w:sz w:val="20"/>
              </w:rPr>
              <w:t>Senior Vice President,</w:t>
            </w:r>
          </w:p>
          <w:p>
            <w:pPr>
              <w:pStyle w:val="TableContents"/>
              <w:bidi w:val="0"/>
              <w:jc w:val="center"/>
              <w:rPr>
                <w:rFonts w:ascii="Arial" w:hAnsi="Arial"/>
                <w:b/>
                <w:color w:val="000000"/>
                <w:sz w:val="20"/>
              </w:rPr>
            </w:pPr>
            <w:r>
              <w:rPr>
                <w:rFonts w:ascii="Arial" w:hAnsi="Arial"/>
                <w:b/>
                <w:color w:val="000000"/>
                <w:sz w:val="20"/>
              </w:rPr>
              <w:t>Chief Legal Officer and Secretary</w:t>
            </w:r>
          </w:p>
          <w:p>
            <w:pPr>
              <w:pStyle w:val="TableContents"/>
              <w:bidi w:val="0"/>
              <w:jc w:val="center"/>
              <w:rPr>
                <w:rFonts w:ascii="Arial" w:hAnsi="Arial"/>
                <w:b/>
                <w:color w:val="000000"/>
                <w:sz w:val="20"/>
              </w:rPr>
            </w:pPr>
            <w:r>
              <w:rPr>
                <w:rFonts w:ascii="Arial" w:hAnsi="Arial"/>
                <w:b/>
                <w:color w:val="000000"/>
                <w:sz w:val="20"/>
              </w:rPr>
              <w:t>Manhattan Associates, Inc.</w:t>
            </w:r>
          </w:p>
          <w:p>
            <w:pPr>
              <w:pStyle w:val="TableContents"/>
              <w:bidi w:val="0"/>
              <w:jc w:val="center"/>
              <w:rPr>
                <w:rFonts w:ascii="Arial" w:hAnsi="Arial"/>
                <w:b/>
                <w:color w:val="000000"/>
                <w:sz w:val="20"/>
              </w:rPr>
            </w:pPr>
            <w:r>
              <w:rPr>
                <w:rFonts w:ascii="Arial" w:hAnsi="Arial"/>
                <w:b/>
                <w:color w:val="000000"/>
                <w:sz w:val="20"/>
              </w:rPr>
              <w:t>2300 Windy Ridge Parkway, Tenth Floor</w:t>
            </w:r>
          </w:p>
          <w:p>
            <w:pPr>
              <w:pStyle w:val="TableContents"/>
              <w:bidi w:val="0"/>
              <w:jc w:val="center"/>
              <w:rPr>
                <w:rFonts w:ascii="Arial" w:hAnsi="Arial"/>
                <w:b/>
                <w:color w:val="000000"/>
                <w:sz w:val="20"/>
              </w:rPr>
            </w:pPr>
            <w:r>
              <w:rPr>
                <w:rFonts w:ascii="Arial" w:hAnsi="Arial"/>
                <w:b/>
                <w:color w:val="000000"/>
                <w:sz w:val="20"/>
              </w:rPr>
              <w:t>Atlanta, Georgia 30339</w:t>
            </w:r>
          </w:p>
          <w:p>
            <w:pPr>
              <w:pStyle w:val="TableContents"/>
              <w:bidi w:val="0"/>
              <w:jc w:val="center"/>
              <w:rPr>
                <w:rFonts w:ascii="Arial" w:hAnsi="Arial"/>
                <w:b/>
                <w:color w:val="000000"/>
                <w:sz w:val="20"/>
              </w:rPr>
            </w:pPr>
            <w:r>
              <w:rPr>
                <w:rFonts w:ascii="Arial" w:hAnsi="Arial"/>
                <w:b/>
                <w:color w:val="000000"/>
                <w:sz w:val="20"/>
              </w:rPr>
              <w:t>(770) 955-7070</w:t>
            </w:r>
          </w:p>
          <w:p>
            <w:pPr>
              <w:pStyle w:val="TableContents"/>
              <w:bidi w:val="0"/>
              <w:jc w:val="center"/>
              <w:rPr>
                <w:rFonts w:ascii="Arial" w:hAnsi="Arial"/>
                <w:i/>
                <w:color w:val="000000"/>
                <w:sz w:val="18"/>
              </w:rPr>
            </w:pPr>
            <w:r>
              <w:rPr>
                <w:rFonts w:ascii="Arial" w:hAnsi="Arial"/>
                <w:i/>
                <w:color w:val="000000"/>
                <w:sz w:val="18"/>
              </w:rPr>
              <w:t>(Name, Address, and Telephone Number,</w:t>
            </w:r>
          </w:p>
          <w:p>
            <w:pPr>
              <w:pStyle w:val="TableContents"/>
              <w:bidi w:val="0"/>
              <w:jc w:val="center"/>
              <w:rPr>
                <w:rFonts w:ascii="Arial" w:hAnsi="Arial"/>
                <w:i/>
                <w:color w:val="000000"/>
                <w:sz w:val="18"/>
              </w:rPr>
            </w:pPr>
            <w:r>
              <w:rPr>
                <w:rFonts w:ascii="Arial" w:hAnsi="Arial"/>
                <w:i/>
                <w:color w:val="000000"/>
                <w:sz w:val="18"/>
              </w:rPr>
              <w:t>Including Area Code, of Agent for Service)</w:t>
            </w:r>
          </w:p>
          <w:p>
            <w:pPr>
              <w:pStyle w:val="TableContents"/>
              <w:bidi w:val="0"/>
              <w:spacing w:before="0" w:after="283"/>
              <w:jc w:val="center"/>
              <w:rPr/>
            </w:pPr>
            <w:r>
              <w:rPr/>
              <w:t> </w:t>
            </w:r>
          </w:p>
        </w:tc>
        <w:tc>
          <w:tcPr>
            <w:tcW w:w="3736" w:type="dxa"/>
            <w:tcBorders/>
            <w:tcMar>
              <w:top w:w="0" w:type="dxa"/>
              <w:left w:w="0" w:type="dxa"/>
              <w:bottom w:w="0" w:type="dxa"/>
              <w:right w:w="0" w:type="dxa"/>
            </w:tcMar>
            <w:vAlign w:val="center"/>
          </w:tcPr>
          <w:p>
            <w:pPr>
              <w:pStyle w:val="TableContents"/>
              <w:bidi w:val="0"/>
              <w:jc w:val="center"/>
              <w:rPr>
                <w:rFonts w:ascii="Arial" w:hAnsi="Arial"/>
                <w:i/>
                <w:color w:val="000000"/>
                <w:sz w:val="20"/>
              </w:rPr>
            </w:pPr>
            <w:r>
              <w:rPr>
                <w:rFonts w:ascii="Arial" w:hAnsi="Arial"/>
                <w:i/>
                <w:color w:val="000000"/>
                <w:sz w:val="20"/>
              </w:rPr>
              <w:t>Copies to:</w:t>
            </w:r>
          </w:p>
          <w:p>
            <w:pPr>
              <w:pStyle w:val="TableContents"/>
              <w:bidi w:val="0"/>
              <w:jc w:val="center"/>
              <w:rPr>
                <w:rFonts w:ascii="Arial" w:hAnsi="Arial"/>
                <w:b/>
                <w:color w:val="000000"/>
                <w:sz w:val="20"/>
              </w:rPr>
            </w:pPr>
            <w:r>
              <w:rPr>
                <w:rFonts w:ascii="Arial" w:hAnsi="Arial"/>
                <w:b/>
                <w:color w:val="000000"/>
                <w:sz w:val="20"/>
              </w:rPr>
              <w:t>David M. Eaton</w:t>
            </w:r>
          </w:p>
          <w:p>
            <w:pPr>
              <w:pStyle w:val="TableContents"/>
              <w:bidi w:val="0"/>
              <w:jc w:val="center"/>
              <w:rPr>
                <w:rFonts w:ascii="Arial" w:hAnsi="Arial"/>
                <w:b/>
                <w:color w:val="000000"/>
                <w:sz w:val="20"/>
              </w:rPr>
            </w:pPr>
            <w:r>
              <w:rPr>
                <w:rFonts w:ascii="Arial" w:hAnsi="Arial"/>
                <w:b/>
                <w:color w:val="000000"/>
                <w:sz w:val="20"/>
              </w:rPr>
              <w:t>Kilpatrick Townsend &amp; Stockton LLP</w:t>
            </w:r>
          </w:p>
          <w:p>
            <w:pPr>
              <w:pStyle w:val="TableContents"/>
              <w:bidi w:val="0"/>
              <w:jc w:val="center"/>
              <w:rPr>
                <w:rFonts w:ascii="Arial" w:hAnsi="Arial"/>
                <w:b/>
                <w:color w:val="000000"/>
                <w:sz w:val="20"/>
              </w:rPr>
            </w:pPr>
            <w:r>
              <w:rPr>
                <w:rFonts w:ascii="Arial" w:hAnsi="Arial"/>
                <w:b/>
                <w:color w:val="000000"/>
                <w:sz w:val="20"/>
              </w:rPr>
              <w:t>1100 Peachtree Street, N.E., Suite 2800</w:t>
            </w:r>
          </w:p>
          <w:p>
            <w:pPr>
              <w:pStyle w:val="TableContents"/>
              <w:bidi w:val="0"/>
              <w:jc w:val="center"/>
              <w:rPr>
                <w:rFonts w:ascii="Arial" w:hAnsi="Arial"/>
                <w:b/>
                <w:color w:val="000000"/>
                <w:sz w:val="20"/>
              </w:rPr>
            </w:pPr>
            <w:r>
              <w:rPr>
                <w:rFonts w:ascii="Arial" w:hAnsi="Arial"/>
                <w:b/>
                <w:color w:val="000000"/>
                <w:sz w:val="20"/>
              </w:rPr>
              <w:t>Atlanta, Georgia 30309</w:t>
            </w:r>
          </w:p>
          <w:p>
            <w:pPr>
              <w:pStyle w:val="TableContents"/>
              <w:bidi w:val="0"/>
              <w:spacing w:before="0" w:after="283"/>
              <w:jc w:val="center"/>
              <w:rPr>
                <w:rFonts w:ascii="Arial" w:hAnsi="Arial"/>
                <w:b/>
                <w:color w:val="000000"/>
                <w:sz w:val="20"/>
              </w:rPr>
            </w:pPr>
            <w:r>
              <w:rPr>
                <w:rFonts w:ascii="Arial" w:hAnsi="Arial"/>
                <w:b/>
                <w:color w:val="000000"/>
                <w:sz w:val="20"/>
              </w:rPr>
              <w:t>(404) 815-6500</w:t>
            </w:r>
          </w:p>
        </w:tc>
      </w:tr>
    </w:tbl>
    <w:p>
      <w:pPr>
        <w:pStyle w:val="TextBody"/>
        <w:bidi w:val="0"/>
        <w:jc w:val="center"/>
        <w:rPr/>
      </w:pPr>
      <w:r>
        <w:rPr/>
        <w:t> </w:t>
      </w:r>
    </w:p>
    <w:p>
      <w:pPr>
        <w:pStyle w:val="TextBody"/>
        <w:bidi w:val="0"/>
        <w:spacing w:before="120" w:after="120"/>
        <w:jc w:val="left"/>
        <w:rPr>
          <w:rFonts w:ascii="Arial" w:hAnsi="Arial"/>
          <w:color w:val="000000"/>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97" w:type="dxa"/>
        <w:jc w:val="left"/>
        <w:tblInd w:w="0" w:type="dxa"/>
        <w:tblLayout w:type="fixed"/>
        <w:tblCellMar>
          <w:top w:w="28" w:type="dxa"/>
          <w:left w:w="28" w:type="dxa"/>
          <w:bottom w:w="28" w:type="dxa"/>
          <w:right w:w="28" w:type="dxa"/>
        </w:tblCellMar>
      </w:tblPr>
      <w:tblGrid>
        <w:gridCol w:w="2281"/>
        <w:gridCol w:w="2716"/>
      </w:tblGrid>
      <w:tr>
        <w:trPr/>
        <w:tc>
          <w:tcPr>
            <w:tcW w:w="2281"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Large accelerated filer </w:t>
            </w:r>
            <w:r>
              <w:rPr>
                <w:rFonts w:ascii="Times New Roman" w:hAnsi="Times New Roman"/>
                <w:color w:val="212529"/>
                <w:sz w:val="20"/>
              </w:rPr>
              <w:t>☒</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Accelerated filer </w:t>
            </w:r>
            <w:r>
              <w:rPr>
                <w:rFonts w:ascii="Times New Roman" w:hAnsi="Times New Roman"/>
                <w:color w:val="212529"/>
                <w:sz w:val="20"/>
              </w:rPr>
              <w:t>☐</w:t>
            </w:r>
          </w:p>
        </w:tc>
      </w:tr>
      <w:tr>
        <w:trPr/>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Non-accelerated filer </w:t>
            </w:r>
            <w:r>
              <w:rPr>
                <w:rFonts w:ascii="Times New Roman" w:hAnsi="Times New Roman"/>
                <w:color w:val="212529"/>
                <w:sz w:val="20"/>
              </w:rPr>
              <w:t>☐</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Smaller reporting company </w:t>
            </w:r>
            <w:r>
              <w:rPr>
                <w:rFonts w:ascii="Times New Roman" w:hAnsi="Times New Roman"/>
                <w:color w:val="212529"/>
                <w:sz w:val="20"/>
              </w:rPr>
              <w:t>☐</w:t>
            </w:r>
          </w:p>
        </w:tc>
      </w:tr>
      <w:tr>
        <w:trPr/>
        <w:tc>
          <w:tcPr>
            <w:tcW w:w="22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Emerging growth company </w:t>
            </w:r>
            <w:r>
              <w:rPr>
                <w:rFonts w:ascii="Times New Roman" w:hAnsi="Times New Roman"/>
                <w:color w:val="212529"/>
                <w:sz w:val="20"/>
              </w:rPr>
              <w:t>☐</w:t>
            </w:r>
          </w:p>
        </w:tc>
      </w:tr>
    </w:tbl>
    <w:p>
      <w:pPr>
        <w:pStyle w:val="TextBody"/>
        <w:bidi w:val="0"/>
        <w:spacing w:before="120" w:after="120"/>
        <w:jc w:val="left"/>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20"/>
        </w:rPr>
        <w:t>☐</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olor w:val="000000"/>
          <w:sz w:val="20"/>
        </w:rPr>
      </w:pPr>
      <w:r>
        <w:rPr>
          <w:rFonts w:ascii="Arial" w:hAnsi="Arial"/>
          <w:b/>
          <w:color w:val="000000"/>
          <w:sz w:val="20"/>
        </w:rPr>
        <w:t>EXPLANATORY NOTE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This Registration Statement on Form S-8 (this “</w:t>
      </w:r>
      <w:r>
        <w:rPr>
          <w:rFonts w:ascii="Arial" w:hAnsi="Arial"/>
          <w:color w:val="000000"/>
          <w:sz w:val="20"/>
          <w:u w:val="single"/>
        </w:rPr>
        <w:t>Registration Statement</w:t>
      </w:r>
      <w:r>
        <w:rPr>
          <w:rFonts w:ascii="Times New Roman" w:hAnsi="Times New Roman"/>
          <w:color w:val="000000"/>
          <w:sz w:val="20"/>
        </w:rPr>
        <w:t>”</w:t>
      </w:r>
      <w:r>
        <w:rPr>
          <w:rFonts w:ascii="Arial" w:hAnsi="Arial"/>
          <w:color w:val="000000"/>
          <w:sz w:val="20"/>
        </w:rPr>
        <w:t>) is filed by Manhattan Associates, Inc., a Georgia corporation (the “</w:t>
      </w:r>
      <w:r>
        <w:rPr>
          <w:rFonts w:ascii="Arial" w:hAnsi="Arial"/>
          <w:color w:val="000000"/>
          <w:sz w:val="20"/>
          <w:u w:val="single"/>
        </w:rPr>
        <w:t>Registrant</w:t>
      </w:r>
      <w:r>
        <w:rPr>
          <w:rFonts w:ascii="Times New Roman" w:hAnsi="Times New Roman"/>
          <w:color w:val="000000"/>
          <w:sz w:val="20"/>
        </w:rPr>
        <w:t>”</w:t>
      </w:r>
      <w:r>
        <w:rPr>
          <w:rFonts w:ascii="Arial" w:hAnsi="Arial"/>
          <w:color w:val="000000"/>
          <w:sz w:val="20"/>
        </w:rPr>
        <w:t>), with the Securities and Exchange Commission (the “</w:t>
      </w:r>
      <w:r>
        <w:rPr>
          <w:rFonts w:ascii="Arial" w:hAnsi="Arial"/>
          <w:color w:val="000000"/>
          <w:sz w:val="20"/>
          <w:u w:val="single"/>
        </w:rPr>
        <w:t>SEC</w:t>
      </w:r>
      <w:r>
        <w:rPr>
          <w:rFonts w:ascii="Times New Roman" w:hAnsi="Times New Roman"/>
          <w:color w:val="000000"/>
          <w:sz w:val="20"/>
        </w:rPr>
        <w:t>”</w:t>
      </w:r>
      <w:r>
        <w:rPr>
          <w:rFonts w:ascii="Arial" w:hAnsi="Arial"/>
          <w:color w:val="000000"/>
          <w:sz w:val="20"/>
        </w:rPr>
        <w:t>) pursuant to the requirements of the Securities Act of 1933, as amended (the “</w:t>
      </w:r>
      <w:r>
        <w:rPr>
          <w:rFonts w:ascii="Arial" w:hAnsi="Arial"/>
          <w:color w:val="000000"/>
          <w:sz w:val="20"/>
          <w:u w:val="single"/>
        </w:rPr>
        <w:t>Securities Act</w:t>
      </w:r>
      <w:r>
        <w:rPr>
          <w:rFonts w:ascii="Times New Roman" w:hAnsi="Times New Roman"/>
          <w:color w:val="000000"/>
          <w:sz w:val="20"/>
        </w:rPr>
        <w:t>”</w:t>
      </w:r>
      <w:r>
        <w:rPr>
          <w:rFonts w:ascii="Arial" w:hAnsi="Arial"/>
          <w:color w:val="000000"/>
          <w:sz w:val="20"/>
        </w:rPr>
        <w:t>), to register an additional 3,000,000 shares of the Registrant’s common stock, par value $0.01 per share (“</w:t>
      </w:r>
      <w:r>
        <w:rPr>
          <w:rFonts w:ascii="Arial" w:hAnsi="Arial"/>
          <w:color w:val="000000"/>
          <w:sz w:val="20"/>
          <w:u w:val="single"/>
        </w:rPr>
        <w:t>Common Stock</w:t>
      </w:r>
      <w:r>
        <w:rPr>
          <w:rFonts w:ascii="Times New Roman" w:hAnsi="Times New Roman"/>
          <w:color w:val="000000"/>
          <w:sz w:val="20"/>
        </w:rPr>
        <w:t>”</w:t>
      </w:r>
      <w:r>
        <w:rPr>
          <w:rFonts w:ascii="Arial" w:hAnsi="Arial"/>
          <w:color w:val="000000"/>
          <w:sz w:val="20"/>
        </w:rPr>
        <w:t>), under the Registrant’s 2020 Equity Incentive Plan (the “</w:t>
      </w:r>
      <w:r>
        <w:rPr>
          <w:rFonts w:ascii="Arial" w:hAnsi="Arial"/>
          <w:color w:val="000000"/>
          <w:sz w:val="20"/>
          <w:u w:val="single"/>
        </w:rPr>
        <w:t>Plan</w:t>
      </w:r>
      <w:r>
        <w:rPr>
          <w:rFonts w:ascii="Times New Roman" w:hAnsi="Times New Roman"/>
          <w:color w:val="000000"/>
          <w:sz w:val="20"/>
        </w:rPr>
        <w:t>”</w:t>
      </w:r>
      <w:r>
        <w:rPr>
          <w:rFonts w:ascii="Arial" w:hAnsi="Arial"/>
          <w:color w:val="000000"/>
          <w:sz w:val="20"/>
        </w:rPr>
        <w:t>) that became reserved and available for issuance following approval by the Registrant’s shareholders of the First Amendment to the Plan on May 14, 2026.</w:t>
      </w:r>
    </w:p>
    <w:p>
      <w:pPr>
        <w:pStyle w:val="TextBody"/>
        <w:bidi w:val="0"/>
        <w:jc w:val="both"/>
        <w:rPr/>
      </w:pPr>
      <w:r>
        <w:rPr/>
        <w:t> </w:t>
      </w:r>
    </w:p>
    <w:p>
      <w:pPr>
        <w:pStyle w:val="TextBody"/>
        <w:bidi w:val="0"/>
        <w:spacing w:before="0" w:after="120"/>
        <w:jc w:val="both"/>
        <w:rPr/>
      </w:pPr>
      <w:r>
        <w:rPr>
          <w:rFonts w:ascii="Arial" w:hAnsi="Arial"/>
          <w:color w:val="000000"/>
          <w:sz w:val="20"/>
        </w:rPr>
        <w:t xml:space="preserve">The Registrant previously filed a </w:t>
      </w:r>
      <w:hyperlink r:id="rId2">
        <w:r>
          <w:rPr>
            <w:rStyle w:val="InternetLink"/>
            <w:rFonts w:ascii="Arial" w:hAnsi="Arial"/>
            <w:color w:val="0000FF"/>
            <w:sz w:val="20"/>
            <w:u w:val="single"/>
          </w:rPr>
          <w:t>Registration Statement on Form S-8 (File No. 333-238503)</w:t>
        </w:r>
      </w:hyperlink>
      <w:r>
        <w:rPr>
          <w:rFonts w:ascii="Times New Roman" w:hAnsi="Times New Roman"/>
          <w:color w:val="000000"/>
          <w:sz w:val="20"/>
        </w:rPr>
        <w:t xml:space="preserve"> </w:t>
      </w:r>
      <w:r>
        <w:rPr>
          <w:rFonts w:ascii="Arial" w:hAnsi="Arial"/>
          <w:color w:val="000000"/>
          <w:sz w:val="20"/>
        </w:rPr>
        <w:t>on October 8, 2020, with respect to the shares of Common Stock previously reserved for issuance under the Plan (the “</w:t>
      </w:r>
      <w:r>
        <w:rPr>
          <w:rFonts w:ascii="Arial" w:hAnsi="Arial"/>
          <w:color w:val="000000"/>
          <w:sz w:val="20"/>
          <w:u w:val="single"/>
        </w:rPr>
        <w:t>Prior Registration Statement</w:t>
      </w:r>
      <w:r>
        <w:rPr>
          <w:rFonts w:ascii="Times New Roman" w:hAnsi="Times New Roman"/>
          <w:color w:val="000000"/>
          <w:sz w:val="20"/>
        </w:rPr>
        <w:t>”</w:t>
      </w:r>
      <w:r>
        <w:rPr>
          <w:rFonts w:ascii="Arial" w:hAnsi="Arial"/>
          <w:color w:val="000000"/>
          <w:sz w:val="20"/>
        </w:rPr>
        <w:t>). This Registration Statement relates to securities of the same class as that to which the Prior Registration Statement relates, and is submitted in accordance with General Instruction E to Form S-8 regarding registration of additional securities. In accordance with such instruction, the contents of the Prior Registration Statement relating to the Plan are incorporated by reference in this Registration Statement, to the extent not replaced hereby.</w:t>
      </w:r>
    </w:p>
    <w:p>
      <w:pPr>
        <w:pStyle w:val="TextBody"/>
        <w:bidi w:val="0"/>
        <w:jc w:val="both"/>
        <w:rPr/>
      </w:pPr>
      <w:r>
        <w:rPr/>
        <w:t> </w:t>
      </w:r>
    </w:p>
    <w:p>
      <w:pPr>
        <w:pStyle w:val="TextBody"/>
        <w:bidi w:val="0"/>
        <w:spacing w:before="0" w:after="240"/>
        <w:jc w:val="left"/>
        <w:rPr>
          <w:rFonts w:ascii="Arial" w:hAnsi="Arial"/>
          <w:b/>
          <w:color w:val="000000"/>
          <w:sz w:val="20"/>
        </w:rPr>
      </w:pPr>
      <w:r>
        <w:rPr>
          <w:rFonts w:ascii="Arial" w:hAnsi="Arial"/>
          <w:b/>
          <w:color w:val="000000"/>
          <w:sz w:val="20"/>
        </w:rPr>
        <w:t>ITEM 8. EXHIBITS.</w:t>
      </w:r>
    </w:p>
    <w:p>
      <w:pPr>
        <w:pStyle w:val="TextBody"/>
        <w:bidi w:val="0"/>
        <w:spacing w:before="0" w:after="240"/>
        <w:jc w:val="left"/>
        <w:rPr>
          <w:rFonts w:ascii="Arial" w:hAnsi="Arial"/>
          <w:color w:val="000000"/>
          <w:sz w:val="20"/>
        </w:rPr>
      </w:pPr>
      <w:r>
        <w:rPr>
          <w:rFonts w:ascii="Arial" w:hAnsi="Arial"/>
          <w:color w:val="000000"/>
          <w:sz w:val="20"/>
        </w:rPr>
        <w:t>The following exhibits are filed with this Registration Statement:</w:t>
      </w:r>
    </w:p>
    <w:tbl>
      <w:tblPr>
        <w:tblW w:w="10205" w:type="dxa"/>
        <w:jc w:val="left"/>
        <w:tblInd w:w="0" w:type="dxa"/>
        <w:tblLayout w:type="fixed"/>
        <w:tblCellMar>
          <w:top w:w="28" w:type="dxa"/>
          <w:left w:w="28" w:type="dxa"/>
          <w:bottom w:w="28" w:type="dxa"/>
          <w:right w:w="28" w:type="dxa"/>
        </w:tblCellMar>
      </w:tblPr>
      <w:tblGrid>
        <w:gridCol w:w="1084"/>
        <w:gridCol w:w="9121"/>
      </w:tblGrid>
      <w:tr>
        <w:trPr/>
        <w:tc>
          <w:tcPr>
            <w:tcW w:w="1084"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10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Exhibit Number</w:t>
            </w:r>
          </w:p>
        </w:tc>
        <w:tc>
          <w:tcPr>
            <w:tcW w:w="9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Description</w:t>
            </w:r>
          </w:p>
        </w:tc>
      </w:tr>
      <w:tr>
        <w:trPr/>
        <w:tc>
          <w:tcPr>
            <w:tcW w:w="10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9121" w:type="dxa"/>
            <w:tcBorders/>
            <w:tcMar>
              <w:top w:w="0" w:type="dxa"/>
              <w:left w:w="0" w:type="dxa"/>
              <w:bottom w:w="0" w:type="dxa"/>
              <w:right w:w="0" w:type="dxa"/>
            </w:tcMar>
            <w:vAlign w:val="center"/>
          </w:tcPr>
          <w:p>
            <w:pPr>
              <w:pStyle w:val="TableContents"/>
              <w:bidi w:val="0"/>
              <w:spacing w:before="0" w:after="120"/>
              <w:jc w:val="both"/>
              <w:rPr/>
            </w:pPr>
            <w:hyperlink r:id="rId3">
              <w:r>
                <w:rPr>
                  <w:rStyle w:val="InternetLink"/>
                  <w:rFonts w:ascii="Arial" w:hAnsi="Arial"/>
                  <w:color w:val="0000FF"/>
                  <w:sz w:val="20"/>
                  <w:u w:val="single"/>
                </w:rPr>
                <w:t>Articles of Incorporation of the Registrant, as amended May 15, 2014 (incorporated by reference to Exhibit 3.1 to the Registrant’s Quarterly Report on Form 10-Q for the period ended June 30, 2014 filed on July 29, 2014).</w:t>
              </w:r>
            </w:hyperlink>
          </w:p>
        </w:tc>
      </w:tr>
      <w:tr>
        <w:trPr/>
        <w:tc>
          <w:tcPr>
            <w:tcW w:w="10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4.2</w:t>
            </w:r>
          </w:p>
        </w:tc>
        <w:tc>
          <w:tcPr>
            <w:tcW w:w="9121" w:type="dxa"/>
            <w:tcBorders/>
            <w:tcMar>
              <w:top w:w="0" w:type="dxa"/>
              <w:left w:w="0" w:type="dxa"/>
              <w:bottom w:w="0" w:type="dxa"/>
              <w:right w:w="0" w:type="dxa"/>
            </w:tcMar>
            <w:vAlign w:val="center"/>
          </w:tcPr>
          <w:p>
            <w:pPr>
              <w:pStyle w:val="TableContents"/>
              <w:bidi w:val="0"/>
              <w:spacing w:before="0" w:after="120"/>
              <w:jc w:val="both"/>
              <w:rPr/>
            </w:pPr>
            <w:hyperlink r:id="rId4">
              <w:r>
                <w:rPr>
                  <w:rStyle w:val="InternetLink"/>
                  <w:rFonts w:ascii="Arial" w:hAnsi="Arial"/>
                  <w:color w:val="0000FF"/>
                  <w:sz w:val="20"/>
                  <w:u w:val="single"/>
                </w:rPr>
                <w:t>Amended Bylaws of the Registrant, as amended March 8, 2023 (incorporated by reference to Exhibit 3.2 to the Registrant’s Current Report on Form 8-K filed on March 19, 2023).</w:t>
              </w:r>
            </w:hyperlink>
          </w:p>
        </w:tc>
      </w:tr>
      <w:tr>
        <w:trPr/>
        <w:tc>
          <w:tcPr>
            <w:tcW w:w="10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5.1</w:t>
            </w:r>
          </w:p>
        </w:tc>
        <w:tc>
          <w:tcPr>
            <w:tcW w:w="9121" w:type="dxa"/>
            <w:tcBorders/>
            <w:tcMar>
              <w:top w:w="0" w:type="dxa"/>
              <w:left w:w="0" w:type="dxa"/>
              <w:bottom w:w="0" w:type="dxa"/>
              <w:right w:w="0" w:type="dxa"/>
            </w:tcMar>
            <w:vAlign w:val="center"/>
          </w:tcPr>
          <w:p>
            <w:pPr>
              <w:pStyle w:val="TableContents"/>
              <w:bidi w:val="0"/>
              <w:spacing w:before="0" w:after="120"/>
              <w:jc w:val="both"/>
              <w:rPr/>
            </w:pPr>
            <w:hyperlink w:anchor="manh-ex5_ktsopinion.htm">
              <w:r>
                <w:rPr>
                  <w:rStyle w:val="InternetLink"/>
                  <w:rFonts w:ascii="Arial" w:hAnsi="Arial"/>
                  <w:color w:val="0000FF"/>
                  <w:sz w:val="20"/>
                  <w:u w:val="single"/>
                </w:rPr>
                <w:t>Opinion of Kilpatrick Townsend &amp; Stockton LLP as to the legality of the securities to be issued (filed herewith).</w:t>
              </w:r>
            </w:hyperlink>
          </w:p>
        </w:tc>
      </w:tr>
      <w:tr>
        <w:trPr/>
        <w:tc>
          <w:tcPr>
            <w:tcW w:w="10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23.1</w:t>
            </w:r>
          </w:p>
        </w:tc>
        <w:tc>
          <w:tcPr>
            <w:tcW w:w="9121" w:type="dxa"/>
            <w:tcBorders/>
            <w:tcMar>
              <w:top w:w="0" w:type="dxa"/>
              <w:left w:w="0" w:type="dxa"/>
              <w:bottom w:w="0" w:type="dxa"/>
              <w:right w:w="0" w:type="dxa"/>
            </w:tcMar>
            <w:vAlign w:val="center"/>
          </w:tcPr>
          <w:p>
            <w:pPr>
              <w:pStyle w:val="TableContents"/>
              <w:bidi w:val="0"/>
              <w:spacing w:before="0" w:after="120"/>
              <w:jc w:val="both"/>
              <w:rPr/>
            </w:pPr>
            <w:hyperlink w:anchor="manh-ex23_eyconsent.htm">
              <w:r>
                <w:rPr>
                  <w:rStyle w:val="InternetLink"/>
                  <w:rFonts w:ascii="Arial" w:hAnsi="Arial"/>
                  <w:color w:val="0000FF"/>
                  <w:sz w:val="20"/>
                  <w:u w:val="single"/>
                </w:rPr>
                <w:t>Consent of Ernst &amp; Young LLP (filed herewith).</w:t>
              </w:r>
            </w:hyperlink>
          </w:p>
        </w:tc>
      </w:tr>
      <w:tr>
        <w:trPr/>
        <w:tc>
          <w:tcPr>
            <w:tcW w:w="10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23.2</w:t>
            </w:r>
          </w:p>
        </w:tc>
        <w:tc>
          <w:tcPr>
            <w:tcW w:w="9121" w:type="dxa"/>
            <w:tcBorders/>
            <w:tcMar>
              <w:top w:w="0" w:type="dxa"/>
              <w:left w:w="0" w:type="dxa"/>
              <w:bottom w:w="0" w:type="dxa"/>
              <w:right w:w="0" w:type="dxa"/>
            </w:tcMar>
            <w:vAlign w:val="center"/>
          </w:tcPr>
          <w:p>
            <w:pPr>
              <w:pStyle w:val="TableContents"/>
              <w:bidi w:val="0"/>
              <w:spacing w:before="0" w:after="120"/>
              <w:jc w:val="both"/>
              <w:rPr/>
            </w:pPr>
            <w:hyperlink w:anchor="manh-ex5_ktsopinion.htm">
              <w:r>
                <w:rPr>
                  <w:rStyle w:val="InternetLink"/>
                  <w:rFonts w:ascii="Arial" w:hAnsi="Arial"/>
                  <w:color w:val="0000FF"/>
                  <w:sz w:val="20"/>
                  <w:u w:val="single"/>
                </w:rPr>
                <w:t>Consent of Kilpatrick Townsend &amp; Stockton LLP (included in the opinion filed as Exhibit 5.1 hereto).</w:t>
              </w:r>
            </w:hyperlink>
          </w:p>
        </w:tc>
      </w:tr>
      <w:tr>
        <w:trPr/>
        <w:tc>
          <w:tcPr>
            <w:tcW w:w="10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24.1</w:t>
            </w:r>
          </w:p>
        </w:tc>
        <w:tc>
          <w:tcPr>
            <w:tcW w:w="912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sz w:val="20"/>
              </w:rPr>
            </w:pPr>
            <w:r>
              <w:rPr>
                <w:rFonts w:ascii="Arial" w:hAnsi="Arial"/>
                <w:color w:val="000000"/>
                <w:sz w:val="20"/>
              </w:rPr>
              <w:t>Power of Attorney (included in signature pages to this Registration Statement).</w:t>
            </w:r>
            <w:r>
              <w:rPr>
                <w:rFonts w:ascii="Times New Roman" w:hAnsi="Times New Roman"/>
                <w:color w:val="000000"/>
                <w:sz w:val="20"/>
              </w:rPr>
              <w:t xml:space="preserve"> </w:t>
            </w:r>
          </w:p>
        </w:tc>
      </w:tr>
      <w:tr>
        <w:trPr/>
        <w:tc>
          <w:tcPr>
            <w:tcW w:w="10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99.1</w:t>
            </w:r>
          </w:p>
        </w:tc>
        <w:tc>
          <w:tcPr>
            <w:tcW w:w="9121" w:type="dxa"/>
            <w:tcBorders/>
            <w:tcMar>
              <w:top w:w="0" w:type="dxa"/>
              <w:left w:w="0" w:type="dxa"/>
              <w:bottom w:w="0" w:type="dxa"/>
              <w:right w:w="0" w:type="dxa"/>
            </w:tcMar>
            <w:vAlign w:val="center"/>
          </w:tcPr>
          <w:p>
            <w:pPr>
              <w:pStyle w:val="TableContents"/>
              <w:bidi w:val="0"/>
              <w:spacing w:before="0" w:after="120"/>
              <w:jc w:val="both"/>
              <w:rPr/>
            </w:pPr>
            <w:r>
              <w:fldChar w:fldCharType="begin"/>
            </w:r>
            <w:r>
              <w:rPr>
                <w:rStyle w:val="InternetLink"/>
                <w:sz w:val="20"/>
                <w:u w:val="single"/>
                <w:rFonts w:ascii="Arial" w:hAnsi="Arial"/>
                <w:color w:val="0000FF"/>
              </w:rPr>
              <w:instrText xml:space="preserve"> HYPERLINK "https://www.sec.gov/Archives/edgar/data/1056696/000156459020013959/manh-def14a_20200514.htm" \l "IncentivePlan"</w:instrText>
            </w:r>
            <w:r>
              <w:rPr>
                <w:rStyle w:val="InternetLink"/>
                <w:sz w:val="20"/>
                <w:u w:val="single"/>
                <w:rFonts w:ascii="Arial" w:hAnsi="Arial"/>
                <w:color w:val="0000FF"/>
              </w:rPr>
              <w:fldChar w:fldCharType="separate"/>
            </w:r>
            <w:r>
              <w:rPr>
                <w:rStyle w:val="InternetLink"/>
                <w:rFonts w:ascii="Arial" w:hAnsi="Arial"/>
                <w:color w:val="0000FF"/>
                <w:sz w:val="20"/>
                <w:u w:val="single"/>
              </w:rPr>
              <w:t>Manhattan Associates, Inc. 2020 Equity Incentive Plan (incorporated by reference to Annex A to the Registrant’s Definitive Proxy Statement on Schedule 14A filed with the SEC on March 30, 2020).</w:t>
            </w:r>
            <w:r>
              <w:rPr>
                <w:rStyle w:val="InternetLink"/>
                <w:sz w:val="20"/>
                <w:u w:val="single"/>
                <w:rFonts w:ascii="Arial" w:hAnsi="Arial"/>
                <w:color w:val="0000FF"/>
              </w:rPr>
              <w:fldChar w:fldCharType="end"/>
            </w:r>
          </w:p>
        </w:tc>
      </w:tr>
      <w:tr>
        <w:trPr/>
        <w:tc>
          <w:tcPr>
            <w:tcW w:w="10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99.2</w:t>
            </w:r>
          </w:p>
        </w:tc>
        <w:tc>
          <w:tcPr>
            <w:tcW w:w="9121" w:type="dxa"/>
            <w:tcBorders/>
            <w:tcMar>
              <w:top w:w="0" w:type="dxa"/>
              <w:left w:w="0" w:type="dxa"/>
              <w:bottom w:w="0" w:type="dxa"/>
              <w:right w:w="0" w:type="dxa"/>
            </w:tcMar>
            <w:vAlign w:val="center"/>
          </w:tcPr>
          <w:p>
            <w:pPr>
              <w:pStyle w:val="TableContents"/>
              <w:bidi w:val="0"/>
              <w:spacing w:before="0" w:after="120"/>
              <w:jc w:val="both"/>
              <w:rPr/>
            </w:pPr>
            <w:r>
              <w:fldChar w:fldCharType="begin"/>
            </w:r>
            <w:r>
              <w:rPr>
                <w:rStyle w:val="InternetLink"/>
                <w:sz w:val="20"/>
                <w:u w:val="single"/>
                <w:rFonts w:ascii="Arial" w:hAnsi="Arial"/>
                <w:color w:val="0000FF"/>
              </w:rPr>
              <w:instrText xml:space="preserve"> HYPERLINK "https://www.sec.gov/Archives/edgar/data/1056696/000119312526140024/manh-20260402.htm" \l "appendixa_firstamendmenttoequityplan"</w:instrText>
            </w:r>
            <w:r>
              <w:rPr>
                <w:rStyle w:val="InternetLink"/>
                <w:sz w:val="20"/>
                <w:u w:val="single"/>
                <w:rFonts w:ascii="Arial" w:hAnsi="Arial"/>
                <w:color w:val="0000FF"/>
              </w:rPr>
              <w:fldChar w:fldCharType="separate"/>
            </w:r>
            <w:r>
              <w:rPr>
                <w:rStyle w:val="InternetLink"/>
                <w:rFonts w:ascii="Arial" w:hAnsi="Arial"/>
                <w:color w:val="0000FF"/>
                <w:sz w:val="20"/>
                <w:u w:val="single"/>
              </w:rPr>
              <w:t>First Amendment to Manhattan Associates, Inc. 2020 Equity Incentive Plan (incorporated by reference to Appendix A to the Registrant’s Definitive Proxy Statement on Schedule 14A filed with the SEC on April 2, 2026).</w:t>
            </w:r>
            <w:r>
              <w:rPr>
                <w:rStyle w:val="InternetLink"/>
                <w:sz w:val="20"/>
                <w:u w:val="single"/>
                <w:rFonts w:ascii="Arial" w:hAnsi="Arial"/>
                <w:color w:val="0000FF"/>
              </w:rPr>
              <w:fldChar w:fldCharType="end"/>
            </w:r>
          </w:p>
        </w:tc>
      </w:tr>
      <w:tr>
        <w:trPr/>
        <w:tc>
          <w:tcPr>
            <w:tcW w:w="10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107</w:t>
            </w:r>
          </w:p>
        </w:tc>
        <w:tc>
          <w:tcPr>
            <w:tcW w:w="9121" w:type="dxa"/>
            <w:tcBorders/>
            <w:tcMar>
              <w:top w:w="0" w:type="dxa"/>
              <w:left w:w="0" w:type="dxa"/>
              <w:bottom w:w="0" w:type="dxa"/>
              <w:right w:w="0" w:type="dxa"/>
            </w:tcMar>
            <w:vAlign w:val="center"/>
          </w:tcPr>
          <w:p>
            <w:pPr>
              <w:pStyle w:val="TableContents"/>
              <w:bidi w:val="0"/>
              <w:spacing w:before="0" w:after="283"/>
              <w:jc w:val="both"/>
              <w:rPr/>
            </w:pPr>
            <w:hyperlink w:anchor="manh_exfilingfees.htm">
              <w:r>
                <w:rPr>
                  <w:rStyle w:val="InternetLink"/>
                  <w:rFonts w:ascii="Arial" w:hAnsi="Arial"/>
                  <w:color w:val="0000FF"/>
                  <w:sz w:val="20"/>
                  <w:u w:val="single"/>
                </w:rPr>
                <w:t>Filing Fee Table (filed herewith).</w:t>
              </w:r>
            </w:hyperlink>
          </w:p>
        </w:tc>
      </w:tr>
    </w:tbl>
    <w:p>
      <w:pPr>
        <w:pStyle w:val="TextBody"/>
        <w:bidi w:val="0"/>
        <w:jc w:val="left"/>
        <w:rPr/>
      </w:pPr>
      <w:r>
        <w:rPr/>
        <w:t> </w:t>
      </w:r>
    </w:p>
    <w:p>
      <w:pPr>
        <w:pStyle w:val="TextBody"/>
        <w:bidi w:val="0"/>
        <w:jc w:val="center"/>
        <w:rPr>
          <w:rFonts w:ascii="Arial" w:hAnsi="Arial"/>
          <w:color w:val="000000"/>
          <w:sz w:val="24"/>
        </w:rPr>
      </w:pPr>
      <w:r>
        <w:rPr>
          <w:rFonts w:ascii="Arial" w:hAnsi="Arial"/>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jc w:val="center"/>
        <w:rPr/>
      </w:pPr>
      <w:r>
        <w:rPr/>
        <w:t> </w:t>
      </w:r>
    </w:p>
    <w:p>
      <w:pPr>
        <w:pStyle w:val="TextBody"/>
        <w:bidi w:val="0"/>
        <w:jc w:val="both"/>
        <w:rPr>
          <w:rFonts w:ascii="Times New Roman" w:hAnsi="Times New Roman"/>
          <w:sz w:val="20"/>
        </w:rPr>
      </w:pPr>
      <w:r>
        <w:rPr>
          <w:rFonts w:ascii="Arial" w:hAnsi="Arial"/>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Atlanta, State of Georgia, on this 23rd</w:t>
      </w:r>
      <w:r>
        <w:rPr>
          <w:rFonts w:ascii="Times New Roman" w:hAnsi="Times New Roman"/>
          <w:color w:val="000000"/>
          <w:sz w:val="20"/>
        </w:rPr>
        <w:t xml:space="preserve"> </w:t>
      </w:r>
      <w:r>
        <w:rPr>
          <w:rFonts w:ascii="Arial" w:hAnsi="Arial"/>
          <w:color w:val="000000"/>
          <w:sz w:val="20"/>
        </w:rPr>
        <w:t>day of July,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MANHATTAN ASSOCIATES, INC.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By: </w:t>
      </w:r>
      <w:r>
        <w:rPr>
          <w:rFonts w:ascii="Arial" w:hAnsi="Arial"/>
          <w:color w:val="000000"/>
          <w:sz w:val="20"/>
          <w:u w:val="single"/>
        </w:rPr>
        <w:t xml:space="preserve">/s/ Eric A. Clark </w:t>
      </w:r>
    </w:p>
    <w:p>
      <w:pPr>
        <w:pStyle w:val="TextBody"/>
        <w:bidi w:val="0"/>
        <w:jc w:val="left"/>
        <w:rPr>
          <w:rFonts w:ascii="Arial" w:hAnsi="Arial"/>
          <w:color w:val="000000"/>
          <w:sz w:val="20"/>
        </w:rPr>
      </w:pPr>
      <w:r>
        <w:rPr>
          <w:rFonts w:ascii="Arial" w:hAnsi="Arial"/>
          <w:color w:val="000000"/>
          <w:sz w:val="20"/>
        </w:rPr>
        <w:t>Eric A. Clark</w:t>
      </w:r>
    </w:p>
    <w:p>
      <w:pPr>
        <w:pStyle w:val="TextBody"/>
        <w:bidi w:val="0"/>
        <w:jc w:val="left"/>
        <w:rPr>
          <w:rFonts w:ascii="Arial" w:hAnsi="Arial"/>
          <w:color w:val="000000"/>
          <w:sz w:val="20"/>
        </w:rPr>
      </w:pPr>
      <w:r>
        <w:rPr>
          <w:rFonts w:ascii="Arial" w:hAnsi="Arial"/>
          <w:color w:val="000000"/>
          <w:sz w:val="20"/>
        </w:rPr>
        <w:t>President and Chief Executive Officer</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Each person whose signature appears below hereby constitutes and appoints Eric A. Clark, Eddie Capel and Bruce S. Richards, and each of them severally, as his or her true and lawful attorneys-in-fact and agents, with full power of substitution and resubstitution,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 granting unto said attorneys-in-fact and agents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Pursuant to the requirements of the Securities Act, this Registration Statement has been signed by the following persons in the capacities and on the dates indicated:</w:t>
      </w:r>
    </w:p>
    <w:tbl>
      <w:tblPr>
        <w:tblW w:w="5702" w:type="dxa"/>
        <w:jc w:val="left"/>
        <w:tblInd w:w="0" w:type="dxa"/>
        <w:tblLayout w:type="fixed"/>
        <w:tblCellMar>
          <w:top w:w="28" w:type="dxa"/>
          <w:left w:w="28" w:type="dxa"/>
          <w:bottom w:w="28" w:type="dxa"/>
          <w:right w:w="28" w:type="dxa"/>
        </w:tblCellMar>
      </w:tblPr>
      <w:tblGrid>
        <w:gridCol w:w="4381"/>
        <w:gridCol w:w="1321"/>
      </w:tblGrid>
      <w:tr>
        <w:trPr/>
        <w:tc>
          <w:tcPr>
            <w:tcW w:w="438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4381" w:type="dxa"/>
            <w:tcBorders/>
            <w:tcMar>
              <w:top w:w="0" w:type="dxa"/>
              <w:left w:w="0" w:type="dxa"/>
              <w:bottom w:w="0" w:type="dxa"/>
              <w:right w:w="0" w:type="dxa"/>
            </w:tcMar>
            <w:vAlign w:val="center"/>
          </w:tcPr>
          <w:p>
            <w:pPr>
              <w:pStyle w:val="TableContents"/>
              <w:bidi w:val="0"/>
              <w:spacing w:before="0" w:after="283"/>
              <w:jc w:val="both"/>
              <w:rPr/>
            </w:pPr>
            <w:r>
              <w:rPr/>
              <w:t> </w:t>
            </w:r>
          </w:p>
        </w:tc>
        <w:tc>
          <w:tcPr>
            <w:tcW w:w="1321" w:type="dxa"/>
            <w:tcBorders/>
            <w:tcMar>
              <w:top w:w="0" w:type="dxa"/>
              <w:left w:w="0" w:type="dxa"/>
              <w:bottom w:w="0" w:type="dxa"/>
              <w:right w:w="0" w:type="dxa"/>
            </w:tcMar>
            <w:vAlign w:val="center"/>
          </w:tcPr>
          <w:p>
            <w:pPr>
              <w:pStyle w:val="TableContents"/>
              <w:bidi w:val="0"/>
              <w:jc w:val="center"/>
              <w:rPr>
                <w:rFonts w:ascii="Arial" w:hAnsi="Arial"/>
                <w:b/>
                <w:color w:val="000000"/>
                <w:sz w:val="20"/>
                <w:u w:val="single"/>
              </w:rPr>
            </w:pPr>
            <w:r>
              <w:rPr>
                <w:rFonts w:ascii="Arial" w:hAnsi="Arial"/>
                <w:b/>
                <w:color w:val="000000"/>
                <w:sz w:val="20"/>
                <w:u w:val="single"/>
              </w:rPr>
              <w:t>Date</w:t>
            </w:r>
          </w:p>
          <w:p>
            <w:pPr>
              <w:pStyle w:val="TableContents"/>
              <w:bidi w:val="0"/>
              <w:spacing w:before="0" w:after="283"/>
              <w:jc w:val="center"/>
              <w:rPr/>
            </w:pPr>
            <w:r>
              <w:rPr/>
              <w:t> </w:t>
            </w:r>
          </w:p>
        </w:tc>
      </w:tr>
      <w:tr>
        <w:trPr/>
        <w:tc>
          <w:tcPr>
            <w:tcW w:w="4381" w:type="dxa"/>
            <w:tcBorders/>
            <w:tcMar>
              <w:top w:w="0" w:type="dxa"/>
              <w:left w:w="0" w:type="dxa"/>
              <w:bottom w:w="0" w:type="dxa"/>
              <w:right w:w="0" w:type="dxa"/>
            </w:tcMar>
            <w:vAlign w:val="center"/>
          </w:tcPr>
          <w:p>
            <w:pPr>
              <w:pStyle w:val="TableContents"/>
              <w:bidi w:val="0"/>
              <w:jc w:val="both"/>
              <w:rPr>
                <w:rFonts w:ascii="Arial" w:hAnsi="Arial"/>
                <w:color w:val="000000"/>
                <w:sz w:val="20"/>
                <w:u w:val="single"/>
              </w:rPr>
            </w:pPr>
            <w:r>
              <w:rPr>
                <w:rFonts w:ascii="Arial" w:hAnsi="Arial"/>
                <w:color w:val="000000"/>
                <w:sz w:val="20"/>
                <w:u w:val="single"/>
              </w:rPr>
              <w:t>/s/ Eric A. Clark</w:t>
            </w:r>
          </w:p>
          <w:p>
            <w:pPr>
              <w:pStyle w:val="TableContents"/>
              <w:bidi w:val="0"/>
              <w:jc w:val="both"/>
              <w:rPr>
                <w:rFonts w:ascii="Arial" w:hAnsi="Arial"/>
                <w:color w:val="000000"/>
                <w:sz w:val="20"/>
              </w:rPr>
            </w:pPr>
            <w:r>
              <w:rPr>
                <w:rFonts w:ascii="Arial" w:hAnsi="Arial"/>
                <w:color w:val="000000"/>
                <w:sz w:val="20"/>
              </w:rPr>
              <w:t>Eric A. Clark</w:t>
            </w:r>
          </w:p>
          <w:p>
            <w:pPr>
              <w:pStyle w:val="TableContents"/>
              <w:bidi w:val="0"/>
              <w:jc w:val="both"/>
              <w:rPr>
                <w:rFonts w:ascii="Arial" w:hAnsi="Arial"/>
                <w:color w:val="000000"/>
                <w:sz w:val="20"/>
              </w:rPr>
            </w:pPr>
            <w:r>
              <w:rPr>
                <w:rFonts w:ascii="Arial" w:hAnsi="Arial"/>
                <w:color w:val="000000"/>
                <w:sz w:val="20"/>
              </w:rPr>
              <w:t>Director, President and Chief Executive Officer</w:t>
            </w:r>
          </w:p>
          <w:p>
            <w:pPr>
              <w:pStyle w:val="TableContents"/>
              <w:bidi w:val="0"/>
              <w:spacing w:before="0" w:after="120"/>
              <w:jc w:val="both"/>
              <w:rPr>
                <w:rFonts w:ascii="Arial" w:hAnsi="Arial"/>
                <w:color w:val="000000"/>
                <w:sz w:val="20"/>
              </w:rPr>
            </w:pPr>
            <w:r>
              <w:rPr>
                <w:rFonts w:ascii="Arial" w:hAnsi="Arial"/>
                <w:color w:val="000000"/>
                <w:sz w:val="20"/>
              </w:rPr>
              <w:t>(Principal Executive Officer)</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July 23, 2026</w:t>
            </w:r>
          </w:p>
        </w:tc>
      </w:tr>
      <w:tr>
        <w:trPr/>
        <w:tc>
          <w:tcPr>
            <w:tcW w:w="4381" w:type="dxa"/>
            <w:tcBorders/>
            <w:tcMar>
              <w:top w:w="0" w:type="dxa"/>
              <w:left w:w="0" w:type="dxa"/>
              <w:bottom w:w="0" w:type="dxa"/>
              <w:right w:w="0" w:type="dxa"/>
            </w:tcMar>
            <w:vAlign w:val="center"/>
          </w:tcPr>
          <w:p>
            <w:pPr>
              <w:pStyle w:val="TableContents"/>
              <w:bidi w:val="0"/>
              <w:jc w:val="both"/>
              <w:rPr>
                <w:rFonts w:ascii="Arial" w:hAnsi="Arial"/>
                <w:color w:val="000000"/>
                <w:sz w:val="20"/>
                <w:u w:val="single"/>
              </w:rPr>
            </w:pPr>
            <w:r>
              <w:rPr>
                <w:rFonts w:ascii="Arial" w:hAnsi="Arial"/>
                <w:color w:val="000000"/>
                <w:sz w:val="20"/>
                <w:u w:val="single"/>
              </w:rPr>
              <w:t>s/ Linda C. Pinne</w:t>
            </w:r>
          </w:p>
          <w:p>
            <w:pPr>
              <w:pStyle w:val="TableContents"/>
              <w:bidi w:val="0"/>
              <w:jc w:val="both"/>
              <w:rPr>
                <w:rFonts w:ascii="Arial" w:hAnsi="Arial"/>
                <w:color w:val="000000"/>
                <w:sz w:val="20"/>
              </w:rPr>
            </w:pPr>
            <w:r>
              <w:rPr>
                <w:rFonts w:ascii="Arial" w:hAnsi="Arial"/>
                <w:color w:val="000000"/>
                <w:sz w:val="20"/>
              </w:rPr>
              <w:t>Linda C. Pinne</w:t>
            </w:r>
          </w:p>
          <w:p>
            <w:pPr>
              <w:pStyle w:val="TableContents"/>
              <w:bidi w:val="0"/>
              <w:jc w:val="both"/>
              <w:rPr>
                <w:rFonts w:ascii="Arial" w:hAnsi="Arial"/>
                <w:color w:val="000000"/>
                <w:sz w:val="20"/>
              </w:rPr>
            </w:pPr>
            <w:r>
              <w:rPr>
                <w:rFonts w:ascii="Arial" w:hAnsi="Arial"/>
                <w:color w:val="000000"/>
                <w:sz w:val="20"/>
              </w:rPr>
              <w:t>Senior Vice President and Chief Financial Officer</w:t>
            </w:r>
          </w:p>
          <w:p>
            <w:pPr>
              <w:pStyle w:val="TableContents"/>
              <w:bidi w:val="0"/>
              <w:spacing w:before="0" w:after="120"/>
              <w:jc w:val="both"/>
              <w:rPr>
                <w:rFonts w:ascii="Arial" w:hAnsi="Arial"/>
                <w:color w:val="000000"/>
                <w:sz w:val="20"/>
              </w:rPr>
            </w:pPr>
            <w:r>
              <w:rPr>
                <w:rFonts w:ascii="Arial" w:hAnsi="Arial"/>
                <w:color w:val="000000"/>
                <w:sz w:val="20"/>
              </w:rPr>
              <w:t>(Principal Financial and Accounting Officer)</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July 23, 2026</w:t>
            </w:r>
          </w:p>
        </w:tc>
      </w:tr>
      <w:tr>
        <w:trPr/>
        <w:tc>
          <w:tcPr>
            <w:tcW w:w="4381" w:type="dxa"/>
            <w:tcBorders/>
            <w:tcMar>
              <w:top w:w="0" w:type="dxa"/>
              <w:left w:w="0" w:type="dxa"/>
              <w:bottom w:w="0" w:type="dxa"/>
              <w:right w:w="0" w:type="dxa"/>
            </w:tcMar>
            <w:vAlign w:val="center"/>
          </w:tcPr>
          <w:p>
            <w:pPr>
              <w:pStyle w:val="TableContents"/>
              <w:bidi w:val="0"/>
              <w:jc w:val="both"/>
              <w:rPr>
                <w:rFonts w:ascii="Arial" w:hAnsi="Arial"/>
                <w:color w:val="000000"/>
                <w:sz w:val="20"/>
                <w:u w:val="single"/>
              </w:rPr>
            </w:pPr>
            <w:r>
              <w:rPr>
                <w:rFonts w:ascii="Arial" w:hAnsi="Arial"/>
                <w:color w:val="000000"/>
                <w:sz w:val="20"/>
                <w:u w:val="single"/>
              </w:rPr>
              <w:t>/s/ Eddie Capel</w:t>
            </w:r>
          </w:p>
          <w:p>
            <w:pPr>
              <w:pStyle w:val="TableContents"/>
              <w:bidi w:val="0"/>
              <w:spacing w:before="0" w:after="120"/>
              <w:jc w:val="both"/>
              <w:rPr>
                <w:rFonts w:ascii="Arial" w:hAnsi="Arial"/>
                <w:color w:val="000000"/>
                <w:sz w:val="20"/>
              </w:rPr>
            </w:pPr>
            <w:r>
              <w:rPr>
                <w:rFonts w:ascii="Arial" w:hAnsi="Arial"/>
                <w:color w:val="000000"/>
                <w:sz w:val="20"/>
              </w:rPr>
              <w:t>Eddie Capel, Chairman of the Board of Directors</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July 23, 2026</w:t>
            </w:r>
          </w:p>
        </w:tc>
      </w:tr>
      <w:tr>
        <w:trPr/>
        <w:tc>
          <w:tcPr>
            <w:tcW w:w="4381" w:type="dxa"/>
            <w:tcBorders/>
            <w:tcMar>
              <w:top w:w="0" w:type="dxa"/>
              <w:left w:w="0" w:type="dxa"/>
              <w:bottom w:w="0" w:type="dxa"/>
              <w:right w:w="0" w:type="dxa"/>
            </w:tcMar>
            <w:vAlign w:val="center"/>
          </w:tcPr>
          <w:p>
            <w:pPr>
              <w:pStyle w:val="TableContents"/>
              <w:bidi w:val="0"/>
              <w:jc w:val="both"/>
              <w:rPr>
                <w:rFonts w:ascii="Arial" w:hAnsi="Arial"/>
                <w:color w:val="000000"/>
                <w:sz w:val="20"/>
                <w:u w:val="single"/>
              </w:rPr>
            </w:pPr>
            <w:r>
              <w:rPr>
                <w:rFonts w:ascii="Arial" w:hAnsi="Arial"/>
                <w:color w:val="000000"/>
                <w:sz w:val="20"/>
                <w:u w:val="single"/>
              </w:rPr>
              <w:t>/s/ Edmond I. Eger</w:t>
            </w:r>
          </w:p>
          <w:p>
            <w:pPr>
              <w:pStyle w:val="TableContents"/>
              <w:bidi w:val="0"/>
              <w:spacing w:before="0" w:after="120"/>
              <w:jc w:val="both"/>
              <w:rPr>
                <w:rFonts w:ascii="Arial" w:hAnsi="Arial"/>
                <w:color w:val="000000"/>
                <w:sz w:val="20"/>
              </w:rPr>
            </w:pPr>
            <w:r>
              <w:rPr>
                <w:rFonts w:ascii="Arial" w:hAnsi="Arial"/>
                <w:color w:val="000000"/>
                <w:sz w:val="20"/>
              </w:rPr>
              <w:t>Edmond I. Eger, Director</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July 23, 2026</w:t>
            </w:r>
          </w:p>
        </w:tc>
      </w:tr>
      <w:tr>
        <w:trPr/>
        <w:tc>
          <w:tcPr>
            <w:tcW w:w="4381" w:type="dxa"/>
            <w:tcBorders/>
            <w:tcMar>
              <w:top w:w="0" w:type="dxa"/>
              <w:left w:w="0" w:type="dxa"/>
              <w:bottom w:w="0" w:type="dxa"/>
              <w:right w:w="0" w:type="dxa"/>
            </w:tcMar>
            <w:vAlign w:val="center"/>
          </w:tcPr>
          <w:p>
            <w:pPr>
              <w:pStyle w:val="TableContents"/>
              <w:bidi w:val="0"/>
              <w:jc w:val="both"/>
              <w:rPr>
                <w:rFonts w:ascii="Arial" w:hAnsi="Arial"/>
                <w:color w:val="000000"/>
                <w:sz w:val="20"/>
                <w:u w:val="single"/>
              </w:rPr>
            </w:pPr>
            <w:r>
              <w:rPr>
                <w:rFonts w:ascii="Arial" w:hAnsi="Arial"/>
                <w:color w:val="000000"/>
                <w:sz w:val="20"/>
                <w:u w:val="single"/>
              </w:rPr>
              <w:t>/s/ Linda T. Hollembaek</w:t>
            </w:r>
          </w:p>
          <w:p>
            <w:pPr>
              <w:pStyle w:val="TableContents"/>
              <w:bidi w:val="0"/>
              <w:spacing w:before="0" w:after="120"/>
              <w:jc w:val="both"/>
              <w:rPr>
                <w:rFonts w:ascii="Arial" w:hAnsi="Arial"/>
                <w:color w:val="000000"/>
                <w:sz w:val="20"/>
              </w:rPr>
            </w:pPr>
            <w:r>
              <w:rPr>
                <w:rFonts w:ascii="Arial" w:hAnsi="Arial"/>
                <w:color w:val="000000"/>
                <w:sz w:val="20"/>
              </w:rPr>
              <w:t>Linda T. Hollembaek, Director</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July 23, 2026</w:t>
            </w:r>
          </w:p>
        </w:tc>
      </w:tr>
      <w:tr>
        <w:trPr/>
        <w:tc>
          <w:tcPr>
            <w:tcW w:w="4381" w:type="dxa"/>
            <w:tcBorders/>
            <w:tcMar>
              <w:top w:w="0" w:type="dxa"/>
              <w:left w:w="0" w:type="dxa"/>
              <w:bottom w:w="0" w:type="dxa"/>
              <w:right w:w="0" w:type="dxa"/>
            </w:tcMar>
            <w:vAlign w:val="center"/>
          </w:tcPr>
          <w:p>
            <w:pPr>
              <w:pStyle w:val="TableContents"/>
              <w:bidi w:val="0"/>
              <w:jc w:val="both"/>
              <w:rPr>
                <w:rFonts w:ascii="Arial" w:hAnsi="Arial"/>
                <w:color w:val="000000"/>
                <w:sz w:val="20"/>
                <w:u w:val="single"/>
              </w:rPr>
            </w:pPr>
            <w:r>
              <w:rPr>
                <w:rFonts w:ascii="Arial" w:hAnsi="Arial"/>
                <w:color w:val="000000"/>
                <w:sz w:val="20"/>
                <w:u w:val="single"/>
              </w:rPr>
              <w:t>/s/Kimberly A. Kuryea</w:t>
            </w:r>
          </w:p>
          <w:p>
            <w:pPr>
              <w:pStyle w:val="TableContents"/>
              <w:bidi w:val="0"/>
              <w:spacing w:before="0" w:after="120"/>
              <w:jc w:val="both"/>
              <w:rPr>
                <w:rFonts w:ascii="Arial" w:hAnsi="Arial"/>
                <w:color w:val="000000"/>
                <w:sz w:val="20"/>
              </w:rPr>
            </w:pPr>
            <w:r>
              <w:rPr>
                <w:rFonts w:ascii="Arial" w:hAnsi="Arial"/>
                <w:color w:val="000000"/>
                <w:sz w:val="20"/>
              </w:rPr>
              <w:t>Kimberly A. Kuryea, Director</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July 23, 2026</w:t>
            </w:r>
          </w:p>
        </w:tc>
      </w:tr>
      <w:tr>
        <w:trPr/>
        <w:tc>
          <w:tcPr>
            <w:tcW w:w="4381" w:type="dxa"/>
            <w:tcBorders/>
            <w:tcMar>
              <w:top w:w="0" w:type="dxa"/>
              <w:left w:w="0" w:type="dxa"/>
              <w:bottom w:w="0" w:type="dxa"/>
              <w:right w:w="0" w:type="dxa"/>
            </w:tcMar>
            <w:vAlign w:val="center"/>
          </w:tcPr>
          <w:p>
            <w:pPr>
              <w:pStyle w:val="TableContents"/>
              <w:bidi w:val="0"/>
              <w:jc w:val="both"/>
              <w:rPr>
                <w:rFonts w:ascii="Arial" w:hAnsi="Arial"/>
                <w:color w:val="000000"/>
                <w:sz w:val="20"/>
                <w:u w:val="single"/>
              </w:rPr>
            </w:pPr>
            <w:r>
              <w:rPr>
                <w:rFonts w:ascii="Arial" w:hAnsi="Arial"/>
                <w:color w:val="000000"/>
                <w:sz w:val="20"/>
                <w:u w:val="single"/>
              </w:rPr>
              <w:t>/s/ Charles E. Moran</w:t>
            </w:r>
          </w:p>
          <w:p>
            <w:pPr>
              <w:pStyle w:val="TableContents"/>
              <w:bidi w:val="0"/>
              <w:spacing w:before="0" w:after="120"/>
              <w:jc w:val="both"/>
              <w:rPr>
                <w:rFonts w:ascii="Arial" w:hAnsi="Arial"/>
                <w:color w:val="000000"/>
                <w:sz w:val="20"/>
              </w:rPr>
            </w:pPr>
            <w:r>
              <w:rPr>
                <w:rFonts w:ascii="Arial" w:hAnsi="Arial"/>
                <w:color w:val="000000"/>
                <w:sz w:val="20"/>
              </w:rPr>
              <w:t>Charles E. Moran, Director</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July 23, 2026</w:t>
            </w:r>
          </w:p>
        </w:tc>
      </w:tr>
      <w:tr>
        <w:trPr/>
        <w:tc>
          <w:tcPr>
            <w:tcW w:w="4381"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Arial" w:hAnsi="Arial"/>
                <w:color w:val="000000"/>
                <w:sz w:val="20"/>
              </w:rPr>
              <w:t>/</w:t>
            </w:r>
            <w:r>
              <w:rPr>
                <w:rFonts w:ascii="Arial" w:hAnsi="Arial"/>
                <w:color w:val="000000"/>
                <w:sz w:val="20"/>
                <w:u w:val="single"/>
              </w:rPr>
              <w:t>s/ Thomas E. Noonan</w:t>
            </w:r>
          </w:p>
          <w:p>
            <w:pPr>
              <w:pStyle w:val="TableContents"/>
              <w:bidi w:val="0"/>
              <w:spacing w:before="0" w:after="120"/>
              <w:jc w:val="both"/>
              <w:rPr>
                <w:rFonts w:ascii="Arial" w:hAnsi="Arial"/>
                <w:color w:val="000000"/>
                <w:sz w:val="20"/>
              </w:rPr>
            </w:pPr>
            <w:r>
              <w:rPr>
                <w:rFonts w:ascii="Arial" w:hAnsi="Arial"/>
                <w:color w:val="000000"/>
                <w:sz w:val="20"/>
              </w:rPr>
              <w:t>Thomas E. Noonan, Director</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July 23, 2026</w:t>
            </w:r>
          </w:p>
        </w:tc>
      </w:tr>
      <w:tr>
        <w:trPr/>
        <w:tc>
          <w:tcPr>
            <w:tcW w:w="4381" w:type="dxa"/>
            <w:tcBorders/>
            <w:tcMar>
              <w:top w:w="0" w:type="dxa"/>
              <w:left w:w="0" w:type="dxa"/>
              <w:bottom w:w="0" w:type="dxa"/>
              <w:right w:w="0" w:type="dxa"/>
            </w:tcMar>
            <w:vAlign w:val="center"/>
          </w:tcPr>
          <w:p>
            <w:pPr>
              <w:pStyle w:val="TableContents"/>
              <w:bidi w:val="0"/>
              <w:jc w:val="both"/>
              <w:rPr>
                <w:rFonts w:ascii="Arial" w:hAnsi="Arial"/>
                <w:color w:val="000000"/>
                <w:sz w:val="20"/>
                <w:u w:val="single"/>
              </w:rPr>
            </w:pPr>
            <w:r>
              <w:rPr>
                <w:rFonts w:ascii="Arial" w:hAnsi="Arial"/>
                <w:color w:val="000000"/>
                <w:sz w:val="20"/>
                <w:u w:val="single"/>
              </w:rPr>
              <w:t>/s/ Danielle Sheer</w:t>
            </w:r>
          </w:p>
          <w:p>
            <w:pPr>
              <w:pStyle w:val="TableContents"/>
              <w:bidi w:val="0"/>
              <w:spacing w:before="0" w:after="283"/>
              <w:jc w:val="both"/>
              <w:rPr>
                <w:rFonts w:ascii="Arial" w:hAnsi="Arial"/>
                <w:color w:val="000000"/>
                <w:sz w:val="20"/>
              </w:rPr>
            </w:pPr>
            <w:r>
              <w:rPr>
                <w:rFonts w:ascii="Arial" w:hAnsi="Arial"/>
                <w:color w:val="000000"/>
                <w:sz w:val="20"/>
              </w:rPr>
              <w:t>Danielle Sheer, Director</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July 23, 2026</w:t>
            </w:r>
          </w:p>
        </w:tc>
      </w:tr>
    </w:tbl>
    <w:p>
      <w:pPr>
        <w:pStyle w:val="TextBody"/>
        <w:bidi w:val="0"/>
        <w:jc w:val="left"/>
        <w:rPr/>
      </w:pPr>
      <w:r>
        <w:rPr/>
        <w:t> </w:t>
      </w:r>
    </w:p>
    <w:p>
      <w:pPr>
        <w:pStyle w:val="TextBody"/>
        <w:bidi w:val="0"/>
        <w:jc w:val="center"/>
        <w:rPr>
          <w:rFonts w:ascii="Arial" w:hAnsi="Arial"/>
          <w:color w:val="000000"/>
          <w:sz w:val="22"/>
        </w:rPr>
      </w:pPr>
      <w:r>
        <w:rPr>
          <w:rFonts w:ascii="Arial" w:hAnsi="Arial"/>
          <w:color w:val="000000"/>
          <w:sz w:val="22"/>
        </w:rPr>
        <w:t>S-1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manh-ex5_ktsopinion.htm"/>
      <w:bookmarkStart w:id="3" w:name="ksmanhex5_ktsopinion"/>
      <w:bookmarkStart w:id="4" w:name="manh-ex5_ktsopinion.htm"/>
      <w:bookmarkStart w:id="5" w:name="ksmanhex5_ktsopinion"/>
      <w:bookmarkEnd w:id="4"/>
      <w:bookmarkEnd w:id="5"/>
      <w:r>
        <w:br w:type="page"/>
      </w:r>
    </w:p>
    <w:tbl>
      <w:tblPr>
        <w:tblW w:w="7678" w:type="dxa"/>
        <w:jc w:val="left"/>
        <w:tblInd w:w="0" w:type="dxa"/>
        <w:tblLayout w:type="fixed"/>
        <w:tblCellMar>
          <w:top w:w="28" w:type="dxa"/>
          <w:left w:w="28" w:type="dxa"/>
          <w:bottom w:w="28" w:type="dxa"/>
          <w:right w:w="28" w:type="dxa"/>
        </w:tblCellMar>
      </w:tblPr>
      <w:tblGrid>
        <w:gridCol w:w="821"/>
        <w:gridCol w:w="3466"/>
        <w:gridCol w:w="3391"/>
      </w:tblGrid>
      <w:tr>
        <w:trPr/>
        <w:tc>
          <w:tcPr>
            <w:tcW w:w="821"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821"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pPr>
            <w:r>
              <w:rPr/>
              <w:drawing>
                <wp:inline distT="0" distB="0" distL="0" distR="0">
                  <wp:extent cx="4572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457200" cy="457200"/>
                          </a:xfrm>
                          <a:prstGeom prst="rect">
                            <a:avLst/>
                          </a:prstGeom>
                        </pic:spPr>
                      </pic:pic>
                    </a:graphicData>
                  </a:graphic>
                </wp:inline>
              </w:drawing>
            </w:r>
          </w:p>
        </w:tc>
        <w:tc>
          <w:tcPr>
            <w:tcW w:w="3466"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Verdana;sans-serif" w:hAnsi="Verdana;sans-serif"/>
                <w:b/>
                <w:color w:val="D11437"/>
                <w:sz w:val="16"/>
              </w:rPr>
            </w:pPr>
            <w:r>
              <w:rPr>
                <w:rFonts w:ascii="Verdana;sans-serif" w:hAnsi="Verdana;sans-serif"/>
                <w:b/>
                <w:color w:val="D11437"/>
                <w:sz w:val="16"/>
              </w:rPr>
              <w:t>Kilpatrick Townsend &amp; Stockton LLP</w:t>
            </w:r>
          </w:p>
          <w:p>
            <w:pPr>
              <w:pStyle w:val="TableContents"/>
              <w:bidi w:val="0"/>
              <w:spacing w:before="3" w:after="283"/>
              <w:jc w:val="left"/>
              <w:rPr>
                <w:rFonts w:ascii="Verdana;sans-serif" w:hAnsi="Verdana;sans-serif"/>
                <w:color w:val="D11437"/>
                <w:sz w:val="16"/>
              </w:rPr>
            </w:pPr>
            <w:r>
              <w:rPr>
                <w:rFonts w:ascii="Verdana;sans-serif" w:hAnsi="Verdana;sans-serif"/>
                <w:color w:val="D11437"/>
                <w:sz w:val="16"/>
              </w:rPr>
              <w:t>ktslaw.com</w:t>
            </w:r>
          </w:p>
        </w:tc>
        <w:tc>
          <w:tcPr>
            <w:tcW w:w="3391" w:type="dxa"/>
            <w:tcBorders/>
            <w:tcMar>
              <w:top w:w="0" w:type="dxa"/>
              <w:left w:w="0" w:type="dxa"/>
              <w:bottom w:w="0" w:type="dxa"/>
              <w:right w:w="0" w:type="dxa"/>
            </w:tcMar>
            <w:vAlign w:val="center"/>
          </w:tcPr>
          <w:p>
            <w:pPr>
              <w:pStyle w:val="TableContents"/>
              <w:bidi w:val="0"/>
              <w:jc w:val="right"/>
              <w:rPr>
                <w:rFonts w:ascii="Verdana;sans-serif" w:hAnsi="Verdana;sans-serif"/>
                <w:b/>
                <w:color w:val="000000"/>
                <w:sz w:val="16"/>
              </w:rPr>
            </w:pPr>
            <w:r>
              <w:rPr>
                <w:rFonts w:ascii="Verdana;sans-serif" w:hAnsi="Verdana;sans-serif"/>
                <w:b/>
                <w:color w:val="000000"/>
                <w:sz w:val="16"/>
              </w:rPr>
              <w:t>EXHIBIT 5.1</w:t>
            </w:r>
          </w:p>
          <w:p>
            <w:pPr>
              <w:pStyle w:val="TableContents"/>
              <w:bidi w:val="0"/>
              <w:jc w:val="right"/>
              <w:rPr>
                <w:rFonts w:ascii="Verdana;sans-serif" w:hAnsi="Verdana;sans-serif"/>
                <w:color w:val="D11437"/>
                <w:sz w:val="16"/>
              </w:rPr>
            </w:pPr>
            <w:r>
              <w:rPr>
                <w:rFonts w:ascii="Verdana;sans-serif" w:hAnsi="Verdana;sans-serif"/>
                <w:color w:val="D11437"/>
                <w:sz w:val="16"/>
              </w:rPr>
              <w:t>Suite 2800, 1100 Peachtree Street NE</w:t>
            </w:r>
          </w:p>
          <w:p>
            <w:pPr>
              <w:pStyle w:val="TableContents"/>
              <w:bidi w:val="0"/>
              <w:spacing w:before="0" w:after="283"/>
              <w:jc w:val="right"/>
              <w:rPr>
                <w:rFonts w:ascii="Verdana;sans-serif" w:hAnsi="Verdana;sans-serif"/>
                <w:color w:val="D11437"/>
                <w:sz w:val="16"/>
              </w:rPr>
            </w:pPr>
            <w:r>
              <w:rPr>
                <w:rFonts w:ascii="Verdana;sans-serif" w:hAnsi="Verdana;sans-serif"/>
                <w:color w:val="D11437"/>
                <w:sz w:val="16"/>
              </w:rPr>
              <w:t>Atlanta, GA 30309-4528</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July 31, 2026</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Manhattan Associates, Inc.</w:t>
      </w:r>
    </w:p>
    <w:p>
      <w:pPr>
        <w:pStyle w:val="TextBody"/>
        <w:bidi w:val="0"/>
        <w:jc w:val="left"/>
        <w:rPr>
          <w:rFonts w:ascii="Arial" w:hAnsi="Arial"/>
          <w:color w:val="000000"/>
          <w:sz w:val="20"/>
        </w:rPr>
      </w:pPr>
      <w:r>
        <w:rPr>
          <w:rFonts w:ascii="Arial" w:hAnsi="Arial"/>
          <w:color w:val="000000"/>
          <w:sz w:val="20"/>
        </w:rPr>
        <w:t>2300 Windy Ridge Parkway, Tenth Floor</w:t>
      </w:r>
    </w:p>
    <w:p>
      <w:pPr>
        <w:pStyle w:val="TextBody"/>
        <w:bidi w:val="0"/>
        <w:jc w:val="left"/>
        <w:rPr>
          <w:rFonts w:ascii="Arial" w:hAnsi="Arial"/>
          <w:color w:val="000000"/>
          <w:sz w:val="20"/>
        </w:rPr>
      </w:pPr>
      <w:r>
        <w:rPr>
          <w:rFonts w:ascii="Arial" w:hAnsi="Arial"/>
          <w:color w:val="000000"/>
          <w:sz w:val="20"/>
        </w:rPr>
        <w:t>Atlanta, GA 30339</w:t>
      </w:r>
    </w:p>
    <w:p>
      <w:pPr>
        <w:pStyle w:val="TextBody"/>
        <w:bidi w:val="0"/>
        <w:spacing w:before="120" w:after="283"/>
        <w:jc w:val="left"/>
        <w:rPr>
          <w:rFonts w:ascii="Times New Roman" w:hAnsi="Times New Roman"/>
          <w:sz w:val="20"/>
        </w:rPr>
      </w:pPr>
      <w:r>
        <w:rPr>
          <w:rFonts w:ascii="Arial" w:hAnsi="Arial"/>
          <w:b/>
          <w:i/>
          <w:color w:val="000000"/>
          <w:sz w:val="20"/>
        </w:rPr>
        <w:t>Re:</w:t>
      </w:r>
      <w:r>
        <w:rPr>
          <w:rFonts w:ascii="Times New Roman" w:hAnsi="Times New Roman"/>
          <w:color w:val="000000"/>
          <w:sz w:val="20"/>
        </w:rPr>
        <w:t xml:space="preserve"> </w:t>
      </w:r>
      <w:r>
        <w:rPr>
          <w:rFonts w:ascii="Arial" w:hAnsi="Arial"/>
          <w:b/>
          <w:i/>
          <w:color w:val="000000"/>
          <w:sz w:val="20"/>
          <w:u w:val="single"/>
        </w:rPr>
        <w:t>Registration Statement on Form S-8</w:t>
      </w:r>
    </w:p>
    <w:p>
      <w:pPr>
        <w:pStyle w:val="TextBody"/>
        <w:bidi w:val="0"/>
        <w:spacing w:before="240" w:after="283"/>
        <w:jc w:val="both"/>
        <w:rPr>
          <w:rFonts w:ascii="Times New Roman" w:hAnsi="Times New Roman"/>
          <w:sz w:val="20"/>
        </w:rPr>
      </w:pPr>
      <w:r>
        <w:rPr>
          <w:rFonts w:ascii="Arial" w:hAnsi="Arial"/>
          <w:color w:val="000000"/>
          <w:sz w:val="20"/>
        </w:rPr>
        <w:t>Ladies and Gentlemen: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We have acted as counsel to Manhattan Associates, Inc., a Georgia corporation (“</w:t>
      </w:r>
      <w:r>
        <w:rPr>
          <w:rFonts w:ascii="Arial" w:hAnsi="Arial"/>
          <w:color w:val="000000"/>
          <w:sz w:val="20"/>
          <w:u w:val="single"/>
        </w:rPr>
        <w:t>Manhattan</w:t>
      </w:r>
      <w:r>
        <w:rPr>
          <w:rFonts w:ascii="Times New Roman" w:hAnsi="Times New Roman"/>
          <w:color w:val="000000"/>
          <w:sz w:val="20"/>
        </w:rPr>
        <w:t xml:space="preserve">” </w:t>
      </w:r>
      <w:r>
        <w:rPr>
          <w:rFonts w:ascii="Arial" w:hAnsi="Arial"/>
          <w:color w:val="000000"/>
          <w:sz w:val="20"/>
        </w:rPr>
        <w:t>or the “</w:t>
      </w:r>
      <w:r>
        <w:rPr>
          <w:rFonts w:ascii="Arial" w:hAnsi="Arial"/>
          <w:color w:val="000000"/>
          <w:sz w:val="20"/>
          <w:u w:val="single"/>
        </w:rPr>
        <w:t>Company</w:t>
      </w:r>
      <w:r>
        <w:rPr>
          <w:rFonts w:ascii="Times New Roman" w:hAnsi="Times New Roman"/>
          <w:color w:val="000000"/>
          <w:sz w:val="20"/>
        </w:rPr>
        <w:t>”</w:t>
      </w:r>
      <w:r>
        <w:rPr>
          <w:rFonts w:ascii="Arial" w:hAnsi="Arial"/>
          <w:color w:val="000000"/>
          <w:sz w:val="20"/>
        </w:rPr>
        <w:t>), in connection with the filing by the Company of a Registration Statement on Form S-8 (the “</w:t>
      </w:r>
      <w:r>
        <w:rPr>
          <w:rFonts w:ascii="Arial" w:hAnsi="Arial"/>
          <w:color w:val="000000"/>
          <w:sz w:val="20"/>
          <w:u w:val="single"/>
        </w:rPr>
        <w:t>Registration Statement</w:t>
      </w:r>
      <w:r>
        <w:rPr>
          <w:rFonts w:ascii="Times New Roman" w:hAnsi="Times New Roman"/>
          <w:color w:val="000000"/>
          <w:sz w:val="20"/>
        </w:rPr>
        <w:t>”</w:t>
      </w:r>
      <w:r>
        <w:rPr>
          <w:rFonts w:ascii="Arial" w:hAnsi="Arial"/>
          <w:color w:val="000000"/>
          <w:sz w:val="20"/>
        </w:rPr>
        <w:t>) filed with the Securities and Exchange Commission (the “</w:t>
      </w:r>
      <w:r>
        <w:rPr>
          <w:rFonts w:ascii="Arial" w:hAnsi="Arial"/>
          <w:color w:val="000000"/>
          <w:sz w:val="20"/>
          <w:u w:val="single"/>
        </w:rPr>
        <w:t>SEC</w:t>
      </w:r>
      <w:r>
        <w:rPr>
          <w:rFonts w:ascii="Times New Roman" w:hAnsi="Times New Roman"/>
          <w:color w:val="000000"/>
          <w:sz w:val="20"/>
        </w:rPr>
        <w:t>”</w:t>
      </w:r>
      <w:r>
        <w:rPr>
          <w:rFonts w:ascii="Arial" w:hAnsi="Arial"/>
          <w:color w:val="000000"/>
          <w:sz w:val="20"/>
        </w:rPr>
        <w:t>) on the date hereof, covering the registration of an additional 3,000,000 shares (the “</w:t>
      </w:r>
      <w:r>
        <w:rPr>
          <w:rFonts w:ascii="Arial" w:hAnsi="Arial"/>
          <w:color w:val="000000"/>
          <w:sz w:val="20"/>
          <w:u w:val="single"/>
        </w:rPr>
        <w:t>Shares</w:t>
      </w:r>
      <w:r>
        <w:rPr>
          <w:rFonts w:ascii="Times New Roman" w:hAnsi="Times New Roman"/>
          <w:color w:val="000000"/>
          <w:sz w:val="20"/>
        </w:rPr>
        <w:t>”</w:t>
      </w:r>
      <w:r>
        <w:rPr>
          <w:rFonts w:ascii="Arial" w:hAnsi="Arial"/>
          <w:color w:val="000000"/>
          <w:sz w:val="20"/>
        </w:rPr>
        <w:t>) of the Company’s common stock, par value $0.01 per share (the “</w:t>
      </w:r>
      <w:r>
        <w:rPr>
          <w:rFonts w:ascii="Arial" w:hAnsi="Arial"/>
          <w:color w:val="000000"/>
          <w:sz w:val="20"/>
          <w:u w:val="single"/>
        </w:rPr>
        <w:t>Common Stock</w:t>
      </w:r>
      <w:r>
        <w:rPr>
          <w:rFonts w:ascii="Times New Roman" w:hAnsi="Times New Roman"/>
          <w:color w:val="000000"/>
          <w:sz w:val="20"/>
        </w:rPr>
        <w:t>”</w:t>
      </w:r>
      <w:r>
        <w:rPr>
          <w:rFonts w:ascii="Arial" w:hAnsi="Arial"/>
          <w:color w:val="000000"/>
          <w:sz w:val="20"/>
        </w:rPr>
        <w:t>), under the Manhattan Associates, Inc. 2020 Equity Incentive Plan, as amended by the First Amendment thereto approved by the Company’s shareholders on May 14, 2026 (together, the “</w:t>
      </w:r>
      <w:r>
        <w:rPr>
          <w:rFonts w:ascii="Arial" w:hAnsi="Arial"/>
          <w:color w:val="000000"/>
          <w:sz w:val="20"/>
          <w:u w:val="single"/>
        </w:rPr>
        <w:t>Plan</w:t>
      </w:r>
      <w:r>
        <w:rPr>
          <w:rFonts w:ascii="Times New Roman" w:hAnsi="Times New Roman"/>
          <w:color w:val="000000"/>
          <w:sz w:val="20"/>
        </w:rPr>
        <w:t>”</w:t>
      </w:r>
      <w:r>
        <w:rPr>
          <w:rFonts w:ascii="Arial" w:hAnsi="Arial"/>
          <w:color w:val="000000"/>
          <w:sz w:val="20"/>
        </w:rPr>
        <w:t>), which Shares became reserved and available for issuance under the Plan following such shareholder approval.</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Subject to the assumptions, qualifications and limitations identified in this letter, we are of the opinion that the Shares have been duly authorized and, when issued in accordance with the terms of the Plan, will be validly issued, fully paid and nonassessable (except as to Shares issued pursuant to deferred payment arrangements, which will be fully paid and nonassessable when such deferred payments are made in full).</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connection with the preparation of this letter, we have among other things reviewed: (i) the Registration Statement, including the filings incorporated by reference therein; (ii) the Plan; (iii) copies of minutes, resolutions and consents, as applicable, of the Board of Directors and committees of the Board of Directors of the Company related to the offering, certified by an officer of the Company; (iv) the Articles of Incorporation of the Company, as amended May 15, 2014 (the “</w:t>
      </w:r>
      <w:r>
        <w:rPr>
          <w:rFonts w:ascii="Arial" w:hAnsi="Arial"/>
          <w:color w:val="000000"/>
          <w:sz w:val="20"/>
          <w:u w:val="single"/>
        </w:rPr>
        <w:t>Charter</w:t>
      </w:r>
      <w:r>
        <w:rPr>
          <w:rFonts w:ascii="Times New Roman" w:hAnsi="Times New Roman"/>
          <w:color w:val="000000"/>
          <w:sz w:val="20"/>
        </w:rPr>
        <w:t>”</w:t>
      </w:r>
      <w:r>
        <w:rPr>
          <w:rFonts w:ascii="Arial" w:hAnsi="Arial"/>
          <w:color w:val="000000"/>
          <w:sz w:val="20"/>
        </w:rPr>
        <w:t>), as certified by the Secretary of State of the State of Georgia as of July 29, 2026; (v) the Amended Bylaws of the Company, as amended March 8, 2023, certified by an officer of the Company; (vi) a certificate of existence from the Secretary of State of the State of Georgia dated July 29, 2026; and (vii) such other certificates, documents and instruments we have deemed appropriate for purposes of this letter.</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We have assumed for purposes of this letter that: (i) each document we have reviewed is accurate and complete, each such document that is an original is authentic, each such document that is a copy conforms to an authentic original, all signatures on each such document are genuine, and that all natural persons who have signed any documents have the legal capacity to do so; (ii) that the Company will comply with all applicable notice requirements regarding uncertificated shares provided in the Georgia Business Corporation Code (“</w:t>
      </w:r>
      <w:r>
        <w:rPr>
          <w:rFonts w:ascii="Arial" w:hAnsi="Arial"/>
          <w:color w:val="000000"/>
          <w:sz w:val="20"/>
          <w:u w:val="single"/>
        </w:rPr>
        <w:t>GBCC</w:t>
      </w:r>
      <w:r>
        <w:rPr>
          <w:rFonts w:ascii="Times New Roman" w:hAnsi="Times New Roman"/>
          <w:color w:val="000000"/>
          <w:sz w:val="20"/>
        </w:rPr>
        <w:t>”</w:t>
      </w:r>
      <w:r>
        <w:rPr>
          <w:rFonts w:ascii="Arial" w:hAnsi="Arial"/>
          <w:color w:val="000000"/>
          <w:sz w:val="20"/>
        </w:rPr>
        <w:t>), if applicable; (iii) that, at the time of issuance of Shares under the Plan, there will be sufficient shares of Common Stock available for issuance under the Charter; and (iv) that the issuance of Shares under the Plan will be for legal consideration equal to or in excess of par value.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are opining herein only as to the GBCC. We express no opinion to the extent that any other laws are applicable to the subject matter hereof and express no opinion and provide no assurance as to compliance with any federal or state securities law, rule or regulation.</w:t>
      </w:r>
    </w:p>
    <w:p>
      <w:pPr>
        <w:pStyle w:val="HorizontalLine"/>
        <w:pBdr>
          <w:bottom w:val="double" w:sz="2" w:space="0" w:color="808080"/>
        </w:pBdr>
        <w:bidi w:val="0"/>
        <w:spacing w:before="0" w:after="283"/>
        <w:jc w:val="left"/>
        <w:rPr/>
      </w:pPr>
      <w:r>
        <w:rPr/>
      </w:r>
    </w:p>
    <w:p>
      <w:pPr>
        <w:pStyle w:val="TextBody"/>
        <w:bidi w:val="0"/>
        <w:jc w:val="both"/>
        <w:rPr>
          <w:rFonts w:ascii="Arial" w:hAnsi="Arial"/>
          <w:color w:val="000000"/>
          <w:sz w:val="20"/>
        </w:rPr>
      </w:pPr>
      <w:r>
        <w:rPr>
          <w:rFonts w:ascii="Arial" w:hAnsi="Arial"/>
          <w:color w:val="000000"/>
          <w:sz w:val="20"/>
        </w:rPr>
      </w:r>
    </w:p>
    <w:p>
      <w:pPr>
        <w:pStyle w:val="TextBody"/>
        <w:bidi w:val="0"/>
        <w:jc w:val="both"/>
        <w:rPr>
          <w:rFonts w:ascii="Arial" w:hAnsi="Arial"/>
          <w:color w:val="000000"/>
          <w:sz w:val="20"/>
        </w:rPr>
      </w:pPr>
      <w:r>
        <w:rPr>
          <w:rFonts w:ascii="Arial" w:hAnsi="Arial"/>
          <w:color w:val="000000"/>
          <w:sz w:val="20"/>
        </w:rPr>
        <w:t>This opinion letter addresses only with the specific legal issues expressly referenced herein, and no opinion is implied or may be inferred beyond that expressly stated. This opinion letter speaks only as of its date and is delivered in accordance with the requirements of Item 601(b)(5) of Regulation S-K under the Securities Act. We assume no obligation to advise you of any change in the foregoing subsequent to the date hereof. We consent to the filing of this opinion as an exhibit to the Registration Statement. In giving this consent, we do not hereby admit that we come within the category of persons whose consent is required under Section 7 of the Securities Act of 1933, as amended, or the rules and regulations of the SEC thereunder.</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Sincerely,</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/s/KILPATRICK TOWNSEND &amp; STOCKTON LLP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6" w:name="manh-ex23_eyconsent.htm"/>
      <w:bookmarkStart w:id="7" w:name="ksmanhex23_eyconsent"/>
      <w:bookmarkEnd w:id="6"/>
      <w:bookmarkEnd w:id="7"/>
      <w:r>
        <w:rPr>
          <w:rFonts w:ascii="Arial" w:hAnsi="Arial"/>
          <w:b/>
          <w:color w:val="000000"/>
          <w:sz w:val="22"/>
        </w:rPr>
        <w:t>Exhibit 23.1</w:t>
      </w:r>
      <w:r>
        <w:br w:type="page"/>
      </w:r>
    </w:p>
    <w:p>
      <w:pPr>
        <w:pStyle w:val="TextBody"/>
        <w:bidi w:val="0"/>
        <w:jc w:val="right"/>
        <w:rPr/>
      </w:pPr>
      <w:r>
        <w:rPr/>
        <w:t> </w:t>
      </w:r>
    </w:p>
    <w:p>
      <w:pPr>
        <w:pStyle w:val="TextBody"/>
        <w:bidi w:val="0"/>
        <w:jc w:val="center"/>
        <w:rPr>
          <w:rFonts w:ascii="Arial" w:hAnsi="Arial"/>
          <w:b/>
          <w:color w:val="000000"/>
          <w:sz w:val="22"/>
        </w:rPr>
      </w:pPr>
      <w:r>
        <w:rPr>
          <w:rFonts w:ascii="Arial" w:hAnsi="Arial"/>
          <w:b/>
          <w:color w:val="000000"/>
          <w:sz w:val="22"/>
        </w:rPr>
        <w:t>Consent of Independent Registered Public Accounting Firm</w:t>
      </w:r>
    </w:p>
    <w:p>
      <w:pPr>
        <w:pStyle w:val="TextBody"/>
        <w:bidi w:val="0"/>
        <w:jc w:val="both"/>
        <w:rPr>
          <w:rFonts w:ascii="Arial" w:hAnsi="Arial"/>
          <w:color w:val="000000"/>
          <w:sz w:val="22"/>
        </w:rPr>
      </w:pPr>
      <w:r>
        <w:rPr>
          <w:rFonts w:ascii="Arial" w:hAnsi="Arial"/>
          <w:color w:val="000000"/>
          <w:sz w:val="22"/>
        </w:rPr>
        <w:t>We consent to the incorporation by reference in the Registration Statement (Form S-8) pertaining to the Manhattan Associates, Inc. 2020 Equity Incentive Plan of our reports dated February 4, 2026, with respect to the consolidated financial statements of Manhattan Associates, Inc. and subsidiaries and the effectiveness of internal control over financial reporting of Manhattan Associates, Inc. and subsidiaries included in its Annual Report (Form 10-K) for the year ended December 31, 2025, filed with the Securities and Exchange Commission.</w:t>
      </w:r>
    </w:p>
    <w:p>
      <w:pPr>
        <w:pStyle w:val="TextBody"/>
        <w:bidi w:val="0"/>
        <w:jc w:val="left"/>
        <w:rPr>
          <w:rFonts w:ascii="Arial" w:hAnsi="Arial"/>
          <w:color w:val="000000"/>
          <w:sz w:val="22"/>
        </w:rPr>
      </w:pPr>
      <w:r>
        <w:rPr>
          <w:rFonts w:ascii="Arial" w:hAnsi="Arial"/>
          <w:color w:val="000000"/>
          <w:sz w:val="22"/>
        </w:rPr>
        <w:t>/s/ Ernst &amp; Young LLP</w:t>
      </w:r>
    </w:p>
    <w:p>
      <w:pPr>
        <w:pStyle w:val="TextBody"/>
        <w:bidi w:val="0"/>
        <w:jc w:val="left"/>
        <w:rPr>
          <w:rFonts w:ascii="Arial" w:hAnsi="Arial"/>
          <w:color w:val="000000"/>
          <w:sz w:val="22"/>
        </w:rPr>
      </w:pPr>
      <w:r>
        <w:rPr>
          <w:rFonts w:ascii="Arial" w:hAnsi="Arial"/>
          <w:color w:val="000000"/>
          <w:sz w:val="22"/>
        </w:rPr>
        <w:t>Atlanta, Georgia</w:t>
      </w:r>
    </w:p>
    <w:p>
      <w:pPr>
        <w:pStyle w:val="TextBody"/>
        <w:bidi w:val="0"/>
        <w:jc w:val="left"/>
        <w:rPr>
          <w:rFonts w:ascii="Arial" w:hAnsi="Arial"/>
          <w:color w:val="000000"/>
          <w:sz w:val="22"/>
        </w:rPr>
      </w:pPr>
      <w:r>
        <w:rPr>
          <w:rFonts w:ascii="Arial" w:hAnsi="Arial"/>
          <w:color w:val="000000"/>
          <w:sz w:val="22"/>
        </w:rPr>
        <w:t>July 31,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8" w:name="manh_exfilingfees.htm"/>
      <w:bookmarkStart w:id="9" w:name="ksmanh_exfilingfees"/>
      <w:bookmarkEnd w:id="8"/>
      <w:bookmarkEnd w:id="9"/>
      <w:r>
        <w:rPr>
          <w:rFonts w:ascii="Arial" w:hAnsi="Arial"/>
          <w:b/>
          <w:color w:val="000000"/>
          <w:sz w:val="20"/>
        </w:rPr>
        <w:t>Exhibit 107</w:t>
      </w:r>
      <w:r>
        <w:br w:type="page"/>
      </w:r>
    </w:p>
    <w:p>
      <w:pPr>
        <w:pStyle w:val="TextBody"/>
        <w:bidi w:val="0"/>
        <w:jc w:val="center"/>
        <w:rPr>
          <w:rFonts w:ascii="Times New Roman" w:hAnsi="Times New Roman"/>
          <w:sz w:val="20"/>
        </w:rPr>
      </w:pPr>
      <w:r>
        <w:rPr>
          <w:rFonts w:ascii="Arial" w:hAnsi="Arial"/>
          <w:b/>
          <w:color w:val="000000"/>
          <w:sz w:val="20"/>
        </w:rPr>
        <w:t>Calculation of Filing Fee</w:t>
      </w:r>
      <w:r>
        <w:rPr>
          <w:rFonts w:ascii="Times New Roman" w:hAnsi="Times New Roman"/>
          <w:color w:val="000000"/>
          <w:sz w:val="20"/>
        </w:rPr>
        <w:t xml:space="preserve"> </w:t>
      </w:r>
      <w:r>
        <w:rPr>
          <w:rFonts w:ascii="Arial" w:hAnsi="Arial"/>
          <w:b/>
          <w:color w:val="000000"/>
          <w:sz w:val="20"/>
        </w:rPr>
        <w:t>Tables</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Form S-8</w:t>
      </w:r>
    </w:p>
    <w:p>
      <w:pPr>
        <w:pStyle w:val="TextBody"/>
        <w:bidi w:val="0"/>
        <w:jc w:val="center"/>
        <w:rPr>
          <w:rFonts w:ascii="Arial" w:hAnsi="Arial"/>
          <w:color w:val="000000"/>
          <w:sz w:val="20"/>
        </w:rPr>
      </w:pPr>
      <w:r>
        <w:rPr>
          <w:rFonts w:ascii="Arial" w:hAnsi="Arial"/>
          <w:color w:val="000000"/>
          <w:sz w:val="20"/>
        </w:rPr>
        <w:t>(Form Type)</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Manhattan Associates, Inc.</w:t>
      </w:r>
    </w:p>
    <w:p>
      <w:pPr>
        <w:pStyle w:val="TextBody"/>
        <w:bidi w:val="0"/>
        <w:jc w:val="center"/>
        <w:rPr>
          <w:rFonts w:ascii="Arial" w:hAnsi="Arial"/>
          <w:color w:val="000000"/>
          <w:sz w:val="20"/>
        </w:rPr>
      </w:pPr>
      <w:r>
        <w:rPr>
          <w:rFonts w:ascii="Arial" w:hAnsi="Arial"/>
          <w:color w:val="000000"/>
          <w:sz w:val="20"/>
        </w:rPr>
        <w:t>(Exact Name of registrant as specified in its charter)</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Table 1: Newly Registered Securities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02"/>
        <w:gridCol w:w="1292"/>
        <w:gridCol w:w="1236"/>
        <w:gridCol w:w="1321"/>
        <w:gridCol w:w="1783"/>
        <w:gridCol w:w="1298"/>
        <w:gridCol w:w="961"/>
        <w:gridCol w:w="1412"/>
      </w:tblGrid>
      <w:tr>
        <w:trPr/>
        <w:tc>
          <w:tcPr>
            <w:tcW w:w="90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902" w:type="dxa"/>
            <w:tcBorders>
              <w:top w:val="single" w:sz="4" w:space="0" w:color="000000"/>
              <w:left w:val="single" w:sz="4" w:space="0" w:color="000000"/>
              <w:bottom w:val="single" w:sz="4" w:space="0" w:color="000000"/>
              <w:right w:val="single" w:sz="4" w:space="0" w:color="000000"/>
            </w:tcBorders>
            <w:tcMar>
              <w:left w:w="3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Security Type</w:t>
            </w:r>
          </w:p>
        </w:tc>
        <w:tc>
          <w:tcPr>
            <w:tcW w:w="1292" w:type="dxa"/>
            <w:tcBorders>
              <w:top w:val="single" w:sz="4" w:space="0" w:color="000000"/>
              <w:bottom w:val="single" w:sz="4" w:space="0" w:color="000000"/>
              <w:right w:val="single" w:sz="4" w:space="0" w:color="000000"/>
            </w:tcBorders>
            <w:tcMar>
              <w:top w:w="40" w:type="dxa"/>
              <w:left w:w="0" w:type="dxa"/>
              <w:bottom w:w="40" w:type="dxa"/>
            </w:tcMar>
            <w:vAlign w:val="center"/>
          </w:tcPr>
          <w:p>
            <w:pPr>
              <w:pStyle w:val="TableContents"/>
              <w:bidi w:val="0"/>
              <w:jc w:val="center"/>
              <w:rPr>
                <w:rFonts w:ascii="Arial" w:hAnsi="Arial"/>
                <w:b/>
                <w:color w:val="000000"/>
                <w:sz w:val="16"/>
              </w:rPr>
            </w:pPr>
            <w:r>
              <w:rPr>
                <w:rFonts w:ascii="Arial" w:hAnsi="Arial"/>
                <w:b/>
                <w:color w:val="000000"/>
                <w:sz w:val="16"/>
              </w:rPr>
              <w:t>Security</w:t>
            </w:r>
          </w:p>
          <w:p>
            <w:pPr>
              <w:pStyle w:val="TableContents"/>
              <w:bidi w:val="0"/>
              <w:spacing w:before="0" w:after="283"/>
              <w:jc w:val="center"/>
              <w:rPr>
                <w:rFonts w:ascii="Arial" w:hAnsi="Arial"/>
                <w:b/>
                <w:color w:val="000000"/>
                <w:sz w:val="16"/>
              </w:rPr>
            </w:pPr>
            <w:r>
              <w:rPr>
                <w:rFonts w:ascii="Arial" w:hAnsi="Arial"/>
                <w:b/>
                <w:color w:val="000000"/>
                <w:sz w:val="16"/>
              </w:rPr>
              <w:t>Class Title</w:t>
            </w:r>
          </w:p>
        </w:tc>
        <w:tc>
          <w:tcPr>
            <w:tcW w:w="1236" w:type="dxa"/>
            <w:tcBorders>
              <w:top w:val="single" w:sz="4" w:space="0" w:color="000000"/>
              <w:bottom w:val="single" w:sz="4" w:space="0" w:color="000000"/>
              <w:right w:val="single" w:sz="4" w:space="0" w:color="000000"/>
            </w:tcBorders>
            <w:tcMar>
              <w:top w:w="40" w:type="dxa"/>
              <w:left w:w="0" w:type="dxa"/>
              <w:bottom w:w="4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Fee Calculation Rule</w:t>
            </w:r>
          </w:p>
        </w:tc>
        <w:tc>
          <w:tcPr>
            <w:tcW w:w="1321" w:type="dxa"/>
            <w:tcBorders>
              <w:top w:val="single" w:sz="4" w:space="0" w:color="000000"/>
              <w:bottom w:val="single" w:sz="4" w:space="0" w:color="000000"/>
              <w:right w:val="single" w:sz="4" w:space="0" w:color="000000"/>
            </w:tcBorders>
            <w:tcMar>
              <w:top w:w="40" w:type="dxa"/>
              <w:left w:w="0" w:type="dxa"/>
              <w:bottom w:w="4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Amount Registered</w:t>
            </w:r>
            <w:r>
              <w:rPr>
                <w:rFonts w:ascii="Times New Roman" w:hAnsi="Times New Roman"/>
                <w:color w:val="000000"/>
                <w:sz w:val="16"/>
              </w:rPr>
              <w:t> </w:t>
            </w:r>
            <w:r>
              <w:rPr>
                <w:rFonts w:ascii="Arial" w:hAnsi="Arial"/>
                <w:b/>
                <w:color w:val="000000"/>
                <w:sz w:val="11"/>
              </w:rPr>
              <w:t>(1)</w:t>
            </w:r>
          </w:p>
        </w:tc>
        <w:tc>
          <w:tcPr>
            <w:tcW w:w="1783" w:type="dxa"/>
            <w:tcBorders>
              <w:top w:val="single" w:sz="4" w:space="0" w:color="000000"/>
              <w:bottom w:val="single" w:sz="4" w:space="0" w:color="000000"/>
              <w:right w:val="single" w:sz="4" w:space="0" w:color="000000"/>
            </w:tcBorders>
            <w:tcMar>
              <w:top w:w="40" w:type="dxa"/>
              <w:left w:w="0" w:type="dxa"/>
              <w:bottom w:w="4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Proposed Maximum Offering Price Per Share</w:t>
            </w:r>
            <w:r>
              <w:rPr>
                <w:rFonts w:ascii="Times New Roman" w:hAnsi="Times New Roman"/>
                <w:color w:val="000000"/>
                <w:sz w:val="16"/>
              </w:rPr>
              <w:t xml:space="preserve"> </w:t>
            </w:r>
            <w:r>
              <w:rPr>
                <w:rFonts w:ascii="Arial" w:hAnsi="Arial"/>
                <w:b/>
                <w:color w:val="000000"/>
                <w:sz w:val="11"/>
              </w:rPr>
              <w:t>(2)</w:t>
            </w:r>
          </w:p>
        </w:tc>
        <w:tc>
          <w:tcPr>
            <w:tcW w:w="1298" w:type="dxa"/>
            <w:tcBorders>
              <w:top w:val="single" w:sz="4" w:space="0" w:color="000000"/>
              <w:bottom w:val="single" w:sz="4" w:space="0" w:color="000000"/>
              <w:right w:val="single" w:sz="4" w:space="0" w:color="000000"/>
            </w:tcBorders>
            <w:tcMar>
              <w:top w:w="40" w:type="dxa"/>
              <w:left w:w="0" w:type="dxa"/>
              <w:bottom w:w="40" w:type="dxa"/>
            </w:tcMar>
            <w:vAlign w:val="center"/>
          </w:tcPr>
          <w:p>
            <w:pPr>
              <w:pStyle w:val="TableContents"/>
              <w:bidi w:val="0"/>
              <w:jc w:val="center"/>
              <w:rPr>
                <w:rFonts w:ascii="Arial" w:hAnsi="Arial"/>
                <w:b/>
                <w:color w:val="000000"/>
                <w:sz w:val="16"/>
              </w:rPr>
            </w:pPr>
            <w:r>
              <w:rPr>
                <w:rFonts w:ascii="Arial" w:hAnsi="Arial"/>
                <w:b/>
                <w:color w:val="000000"/>
                <w:sz w:val="16"/>
              </w:rPr>
              <w:t>Maximum Aggregate</w:t>
            </w:r>
          </w:p>
          <w:p>
            <w:pPr>
              <w:pStyle w:val="TableContents"/>
              <w:bidi w:val="0"/>
              <w:spacing w:before="0" w:after="283"/>
              <w:ind w:left="0" w:right="0" w:firstLine="55"/>
              <w:jc w:val="center"/>
              <w:rPr>
                <w:rFonts w:ascii="Times New Roman" w:hAnsi="Times New Roman"/>
                <w:sz w:val="16"/>
              </w:rPr>
            </w:pPr>
            <w:r>
              <w:rPr>
                <w:rFonts w:ascii="Arial" w:hAnsi="Arial"/>
                <w:b/>
                <w:color w:val="000000"/>
                <w:sz w:val="16"/>
              </w:rPr>
              <w:t>Offering Price</w:t>
            </w:r>
            <w:r>
              <w:rPr>
                <w:rFonts w:ascii="Times New Roman" w:hAnsi="Times New Roman"/>
                <w:color w:val="000000"/>
                <w:sz w:val="16"/>
              </w:rPr>
              <w:t> </w:t>
            </w:r>
            <w:r>
              <w:rPr>
                <w:rFonts w:ascii="Arial" w:hAnsi="Arial"/>
                <w:b/>
                <w:color w:val="000000"/>
                <w:sz w:val="11"/>
              </w:rPr>
              <w:t>(1)</w:t>
            </w:r>
          </w:p>
        </w:tc>
        <w:tc>
          <w:tcPr>
            <w:tcW w:w="961" w:type="dxa"/>
            <w:tcBorders>
              <w:top w:val="single" w:sz="4" w:space="0" w:color="000000"/>
              <w:bottom w:val="single" w:sz="4" w:space="0" w:color="000000"/>
              <w:right w:val="single" w:sz="4" w:space="0" w:color="000000"/>
            </w:tcBorders>
            <w:tcMar>
              <w:top w:w="40" w:type="dxa"/>
              <w:left w:w="0" w:type="dxa"/>
              <w:bottom w:w="40" w:type="dxa"/>
            </w:tcMar>
            <w:vAlign w:val="center"/>
          </w:tcPr>
          <w:p>
            <w:pPr>
              <w:pStyle w:val="TableContents"/>
              <w:bidi w:val="0"/>
              <w:spacing w:before="0" w:after="283"/>
              <w:ind w:left="0" w:right="0" w:firstLine="55"/>
              <w:jc w:val="center"/>
              <w:rPr>
                <w:rFonts w:ascii="Arial" w:hAnsi="Arial"/>
                <w:b/>
                <w:color w:val="000000"/>
                <w:sz w:val="16"/>
              </w:rPr>
            </w:pPr>
            <w:r>
              <w:rPr>
                <w:rFonts w:ascii="Arial" w:hAnsi="Arial"/>
                <w:b/>
                <w:color w:val="000000"/>
                <w:sz w:val="16"/>
              </w:rPr>
              <w:t>Fee Rate</w:t>
            </w:r>
          </w:p>
        </w:tc>
        <w:tc>
          <w:tcPr>
            <w:tcW w:w="1412" w:type="dxa"/>
            <w:tcBorders>
              <w:top w:val="single" w:sz="4" w:space="0" w:color="000000"/>
              <w:bottom w:val="single" w:sz="4" w:space="0" w:color="000000"/>
              <w:right w:val="single" w:sz="4" w:space="0" w:color="000000"/>
            </w:tcBorders>
            <w:tcMar>
              <w:top w:w="40" w:type="dxa"/>
              <w:left w:w="0" w:type="dxa"/>
              <w:bottom w:w="40" w:type="dxa"/>
            </w:tcMar>
            <w:vAlign w:val="center"/>
          </w:tcPr>
          <w:p>
            <w:pPr>
              <w:pStyle w:val="TableContents"/>
              <w:bidi w:val="0"/>
              <w:jc w:val="center"/>
              <w:rPr>
                <w:rFonts w:ascii="Arial" w:hAnsi="Arial"/>
                <w:b/>
                <w:color w:val="000000"/>
                <w:sz w:val="16"/>
              </w:rPr>
            </w:pPr>
            <w:r>
              <w:rPr>
                <w:rFonts w:ascii="Arial" w:hAnsi="Arial"/>
                <w:b/>
                <w:color w:val="000000"/>
                <w:sz w:val="16"/>
              </w:rPr>
              <w:t>Amount of Registration</w:t>
            </w:r>
          </w:p>
          <w:p>
            <w:pPr>
              <w:pStyle w:val="TableContents"/>
              <w:bidi w:val="0"/>
              <w:spacing w:before="0" w:after="283"/>
              <w:jc w:val="center"/>
              <w:rPr>
                <w:rFonts w:ascii="Arial" w:hAnsi="Arial"/>
                <w:b/>
                <w:color w:val="000000"/>
                <w:sz w:val="16"/>
              </w:rPr>
            </w:pPr>
            <w:r>
              <w:rPr>
                <w:rFonts w:ascii="Arial" w:hAnsi="Arial"/>
                <w:b/>
                <w:color w:val="000000"/>
                <w:sz w:val="16"/>
              </w:rPr>
              <w:t>Fee</w:t>
            </w:r>
          </w:p>
        </w:tc>
      </w:tr>
      <w:tr>
        <w:trPr/>
        <w:tc>
          <w:tcPr>
            <w:tcW w:w="902" w:type="dxa"/>
            <w:tcBorders>
              <w:left w:val="single" w:sz="4" w:space="0" w:color="000000"/>
              <w:bottom w:val="single" w:sz="4" w:space="0" w:color="000000"/>
              <w:right w:val="single" w:sz="4" w:space="0" w:color="000000"/>
            </w:tcBorders>
            <w:tcMar>
              <w:top w:w="0" w:type="dxa"/>
              <w:left w:w="3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Equity</w:t>
            </w:r>
          </w:p>
        </w:tc>
        <w:tc>
          <w:tcPr>
            <w:tcW w:w="1292" w:type="dxa"/>
            <w:tcBorders>
              <w:bottom w:val="single" w:sz="4" w:space="0" w:color="000000"/>
              <w:right w:val="single" w:sz="4" w:space="0" w:color="000000"/>
            </w:tcBorders>
            <w:tcMar>
              <w:top w:w="0" w:type="dxa"/>
              <w:left w:w="0" w:type="dxa"/>
              <w:bottom w:w="35"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Common Stock, $0.01 par value</w:t>
            </w:r>
          </w:p>
        </w:tc>
        <w:tc>
          <w:tcPr>
            <w:tcW w:w="1236" w:type="dxa"/>
            <w:tcBorders>
              <w:bottom w:val="single" w:sz="4" w:space="0" w:color="000000"/>
              <w:right w:val="single" w:sz="4" w:space="0" w:color="000000"/>
            </w:tcBorders>
            <w:tcMar>
              <w:top w:w="0" w:type="dxa"/>
              <w:left w:w="0" w:type="dxa"/>
              <w:bottom w:w="35"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Other</w:t>
            </w:r>
          </w:p>
        </w:tc>
        <w:tc>
          <w:tcPr>
            <w:tcW w:w="1321" w:type="dxa"/>
            <w:tcBorders>
              <w:bottom w:val="single" w:sz="4" w:space="0" w:color="000000"/>
              <w:right w:val="single" w:sz="4" w:space="0" w:color="000000"/>
            </w:tcBorders>
            <w:tcMar>
              <w:top w:w="0" w:type="dxa"/>
              <w:left w:w="0" w:type="dxa"/>
              <w:bottom w:w="35"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3,000,000</w:t>
            </w:r>
          </w:p>
        </w:tc>
        <w:tc>
          <w:tcPr>
            <w:tcW w:w="1783" w:type="dxa"/>
            <w:tcBorders>
              <w:bottom w:val="single" w:sz="4" w:space="0" w:color="000000"/>
              <w:right w:val="single" w:sz="4" w:space="0" w:color="000000"/>
            </w:tcBorders>
            <w:tcMar>
              <w:top w:w="0" w:type="dxa"/>
              <w:left w:w="0" w:type="dxa"/>
              <w:bottom w:w="35"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$151.32</w:t>
            </w:r>
          </w:p>
        </w:tc>
        <w:tc>
          <w:tcPr>
            <w:tcW w:w="1298" w:type="dxa"/>
            <w:tcBorders>
              <w:bottom w:val="single" w:sz="4" w:space="0" w:color="000000"/>
              <w:right w:val="single" w:sz="4" w:space="0" w:color="000000"/>
            </w:tcBorders>
            <w:tcMar>
              <w:top w:w="0" w:type="dxa"/>
              <w:left w:w="0" w:type="dxa"/>
              <w:bottom w:w="35"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$453,960,000</w:t>
            </w:r>
          </w:p>
        </w:tc>
        <w:tc>
          <w:tcPr>
            <w:tcW w:w="961" w:type="dxa"/>
            <w:tcBorders>
              <w:bottom w:val="single" w:sz="4" w:space="0" w:color="000000"/>
              <w:right w:val="single" w:sz="4" w:space="0" w:color="000000"/>
            </w:tcBorders>
            <w:tcMar>
              <w:top w:w="0" w:type="dxa"/>
              <w:left w:w="0" w:type="dxa"/>
              <w:bottom w:w="35"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0.00013810</w:t>
            </w:r>
          </w:p>
        </w:tc>
        <w:tc>
          <w:tcPr>
            <w:tcW w:w="1412" w:type="dxa"/>
            <w:tcBorders>
              <w:bottom w:val="single" w:sz="4" w:space="0" w:color="000000"/>
              <w:right w:val="single" w:sz="4" w:space="0" w:color="000000"/>
            </w:tcBorders>
            <w:tcMar>
              <w:top w:w="0" w:type="dxa"/>
              <w:left w:w="0" w:type="dxa"/>
              <w:bottom w:w="35"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$62,691.88</w:t>
            </w:r>
          </w:p>
        </w:tc>
      </w:tr>
      <w:tr>
        <w:trPr/>
        <w:tc>
          <w:tcPr>
            <w:tcW w:w="4751" w:type="dxa"/>
            <w:gridSpan w:val="4"/>
            <w:tcBorders>
              <w:left w:val="single" w:sz="4" w:space="0" w:color="000000"/>
              <w:bottom w:val="single" w:sz="4" w:space="0" w:color="000000"/>
              <w:right w:val="single" w:sz="4" w:space="0" w:color="000000"/>
            </w:tcBorders>
            <w:tcMar>
              <w:top w:w="0" w:type="dxa"/>
              <w:left w:w="3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Offering Amounts</w:t>
            </w:r>
          </w:p>
        </w:tc>
        <w:tc>
          <w:tcPr>
            <w:tcW w:w="1783" w:type="dxa"/>
            <w:tcBorders>
              <w:bottom w:val="single" w:sz="4" w:space="0" w:color="000000"/>
              <w:right w:val="single" w:sz="4" w:space="0" w:color="000000"/>
            </w:tcBorders>
            <w:tcMar>
              <w:top w:w="0" w:type="dxa"/>
              <w:left w:w="0" w:type="dxa"/>
              <w:bottom w:w="40" w:type="dxa"/>
            </w:tcMar>
            <w:vAlign w:val="center"/>
          </w:tcPr>
          <w:p>
            <w:pPr>
              <w:pStyle w:val="TableContents"/>
              <w:bidi w:val="0"/>
              <w:spacing w:before="0" w:after="283"/>
              <w:jc w:val="center"/>
              <w:rPr/>
            </w:pPr>
            <w:r>
              <w:rPr/>
              <w:t> </w:t>
            </w:r>
          </w:p>
        </w:tc>
        <w:tc>
          <w:tcPr>
            <w:tcW w:w="1298" w:type="dxa"/>
            <w:tcBorders>
              <w:bottom w:val="single" w:sz="4" w:space="0" w:color="000000"/>
              <w:right w:val="single" w:sz="4" w:space="0" w:color="000000"/>
            </w:tcBorders>
            <w:tcMar>
              <w:top w:w="0" w:type="dxa"/>
              <w:left w:w="0" w:type="dxa"/>
              <w:bottom w:w="35"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$453,960,000</w:t>
            </w:r>
          </w:p>
        </w:tc>
        <w:tc>
          <w:tcPr>
            <w:tcW w:w="961" w:type="dxa"/>
            <w:tcBorders>
              <w:bottom w:val="single" w:sz="4" w:space="0" w:color="000000"/>
              <w:right w:val="single" w:sz="4" w:space="0" w:color="000000"/>
            </w:tcBorders>
            <w:tcMar>
              <w:top w:w="0" w:type="dxa"/>
              <w:left w:w="0" w:type="dxa"/>
              <w:bottom w:w="35" w:type="dxa"/>
            </w:tcMar>
            <w:vAlign w:val="center"/>
          </w:tcPr>
          <w:p>
            <w:pPr>
              <w:pStyle w:val="TableContents"/>
              <w:bidi w:val="0"/>
              <w:spacing w:before="0" w:after="283"/>
              <w:jc w:val="center"/>
              <w:rPr/>
            </w:pPr>
            <w:r>
              <w:rPr/>
              <w:t> </w:t>
            </w:r>
          </w:p>
        </w:tc>
        <w:tc>
          <w:tcPr>
            <w:tcW w:w="1412" w:type="dxa"/>
            <w:tcBorders>
              <w:bottom w:val="single" w:sz="4" w:space="0" w:color="000000"/>
              <w:right w:val="single" w:sz="4" w:space="0" w:color="000000"/>
            </w:tcBorders>
            <w:tcMar>
              <w:top w:w="0" w:type="dxa"/>
              <w:left w:w="0" w:type="dxa"/>
              <w:bottom w:w="35"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$62,691.88</w:t>
            </w:r>
          </w:p>
        </w:tc>
      </w:tr>
      <w:tr>
        <w:trPr/>
        <w:tc>
          <w:tcPr>
            <w:tcW w:w="4751" w:type="dxa"/>
            <w:gridSpan w:val="4"/>
            <w:tcBorders>
              <w:left w:val="single" w:sz="4" w:space="0" w:color="000000"/>
              <w:bottom w:val="single" w:sz="4" w:space="0" w:color="000000"/>
              <w:right w:val="single" w:sz="4" w:space="0" w:color="000000"/>
            </w:tcBorders>
            <w:tcMar>
              <w:top w:w="0" w:type="dxa"/>
              <w:left w:w="3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Fee Offsets</w:t>
            </w:r>
          </w:p>
        </w:tc>
        <w:tc>
          <w:tcPr>
            <w:tcW w:w="1783" w:type="dxa"/>
            <w:tcBorders>
              <w:bottom w:val="single" w:sz="4" w:space="0" w:color="000000"/>
              <w:right w:val="single" w:sz="4" w:space="0" w:color="000000"/>
            </w:tcBorders>
            <w:tcMar>
              <w:top w:w="0" w:type="dxa"/>
              <w:left w:w="0" w:type="dxa"/>
              <w:bottom w:w="40" w:type="dxa"/>
            </w:tcMar>
            <w:vAlign w:val="center"/>
          </w:tcPr>
          <w:p>
            <w:pPr>
              <w:pStyle w:val="TableContents"/>
              <w:bidi w:val="0"/>
              <w:spacing w:before="0" w:after="283"/>
              <w:jc w:val="center"/>
              <w:rPr/>
            </w:pPr>
            <w:r>
              <w:rPr/>
              <w:t> </w:t>
            </w:r>
          </w:p>
        </w:tc>
        <w:tc>
          <w:tcPr>
            <w:tcW w:w="1298" w:type="dxa"/>
            <w:tcBorders>
              <w:bottom w:val="single" w:sz="4" w:space="0" w:color="000000"/>
              <w:right w:val="single" w:sz="4" w:space="0" w:color="000000"/>
            </w:tcBorders>
            <w:tcMar>
              <w:top w:w="0" w:type="dxa"/>
              <w:left w:w="0" w:type="dxa"/>
              <w:bottom w:w="35" w:type="dxa"/>
            </w:tcMar>
            <w:vAlign w:val="center"/>
          </w:tcPr>
          <w:p>
            <w:pPr>
              <w:pStyle w:val="TableContents"/>
              <w:bidi w:val="0"/>
              <w:spacing w:before="0" w:after="283"/>
              <w:jc w:val="center"/>
              <w:rPr/>
            </w:pPr>
            <w:r>
              <w:rPr/>
              <w:t> </w:t>
            </w:r>
          </w:p>
        </w:tc>
        <w:tc>
          <w:tcPr>
            <w:tcW w:w="961" w:type="dxa"/>
            <w:tcBorders>
              <w:bottom w:val="single" w:sz="4" w:space="0" w:color="000000"/>
              <w:right w:val="single" w:sz="4" w:space="0" w:color="000000"/>
            </w:tcBorders>
            <w:tcMar>
              <w:top w:w="0" w:type="dxa"/>
              <w:left w:w="0" w:type="dxa"/>
              <w:bottom w:w="35" w:type="dxa"/>
            </w:tcMar>
            <w:vAlign w:val="center"/>
          </w:tcPr>
          <w:p>
            <w:pPr>
              <w:pStyle w:val="TableContents"/>
              <w:bidi w:val="0"/>
              <w:spacing w:before="0" w:after="283"/>
              <w:jc w:val="center"/>
              <w:rPr/>
            </w:pPr>
            <w:r>
              <w:rPr/>
              <w:t> </w:t>
            </w:r>
          </w:p>
        </w:tc>
        <w:tc>
          <w:tcPr>
            <w:tcW w:w="1412" w:type="dxa"/>
            <w:tcBorders>
              <w:bottom w:val="single" w:sz="4" w:space="0" w:color="000000"/>
              <w:right w:val="single" w:sz="4" w:space="0" w:color="000000"/>
            </w:tcBorders>
            <w:tcMar>
              <w:top w:w="0" w:type="dxa"/>
              <w:left w:w="0" w:type="dxa"/>
              <w:bottom w:w="35"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$0.00</w:t>
            </w:r>
          </w:p>
        </w:tc>
      </w:tr>
      <w:tr>
        <w:trPr/>
        <w:tc>
          <w:tcPr>
            <w:tcW w:w="4751" w:type="dxa"/>
            <w:gridSpan w:val="4"/>
            <w:tcBorders>
              <w:left w:val="single" w:sz="4" w:space="0" w:color="000000"/>
              <w:bottom w:val="single" w:sz="4" w:space="0" w:color="000000"/>
              <w:right w:val="single" w:sz="4" w:space="0" w:color="000000"/>
            </w:tcBorders>
            <w:tcMar>
              <w:top w:w="0" w:type="dxa"/>
              <w:left w:w="3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Fee Due</w:t>
            </w:r>
          </w:p>
        </w:tc>
        <w:tc>
          <w:tcPr>
            <w:tcW w:w="1783" w:type="dxa"/>
            <w:tcBorders>
              <w:bottom w:val="single" w:sz="4" w:space="0" w:color="000000"/>
              <w:right w:val="single" w:sz="4" w:space="0" w:color="000000"/>
            </w:tcBorders>
            <w:tcMar>
              <w:top w:w="0" w:type="dxa"/>
              <w:left w:w="0" w:type="dxa"/>
              <w:bottom w:w="40" w:type="dxa"/>
            </w:tcMar>
            <w:vAlign w:val="center"/>
          </w:tcPr>
          <w:p>
            <w:pPr>
              <w:pStyle w:val="TableContents"/>
              <w:bidi w:val="0"/>
              <w:spacing w:before="0" w:after="283"/>
              <w:jc w:val="center"/>
              <w:rPr/>
            </w:pPr>
            <w:r>
              <w:rPr/>
              <w:t> </w:t>
            </w:r>
          </w:p>
        </w:tc>
        <w:tc>
          <w:tcPr>
            <w:tcW w:w="1298" w:type="dxa"/>
            <w:tcBorders>
              <w:bottom w:val="single" w:sz="4" w:space="0" w:color="000000"/>
              <w:right w:val="single" w:sz="4" w:space="0" w:color="000000"/>
            </w:tcBorders>
            <w:tcMar>
              <w:top w:w="0" w:type="dxa"/>
              <w:left w:w="0" w:type="dxa"/>
              <w:bottom w:w="35" w:type="dxa"/>
            </w:tcMar>
            <w:vAlign w:val="center"/>
          </w:tcPr>
          <w:p>
            <w:pPr>
              <w:pStyle w:val="TableContents"/>
              <w:bidi w:val="0"/>
              <w:spacing w:before="0" w:after="283"/>
              <w:jc w:val="center"/>
              <w:rPr/>
            </w:pPr>
            <w:r>
              <w:rPr/>
              <w:t> </w:t>
            </w:r>
          </w:p>
        </w:tc>
        <w:tc>
          <w:tcPr>
            <w:tcW w:w="961" w:type="dxa"/>
            <w:tcBorders>
              <w:bottom w:val="single" w:sz="4" w:space="0" w:color="000000"/>
              <w:right w:val="single" w:sz="4" w:space="0" w:color="000000"/>
            </w:tcBorders>
            <w:tcMar>
              <w:top w:w="0" w:type="dxa"/>
              <w:left w:w="0" w:type="dxa"/>
              <w:bottom w:w="35" w:type="dxa"/>
            </w:tcMar>
            <w:vAlign w:val="center"/>
          </w:tcPr>
          <w:p>
            <w:pPr>
              <w:pStyle w:val="TableContents"/>
              <w:bidi w:val="0"/>
              <w:spacing w:before="0" w:after="283"/>
              <w:jc w:val="center"/>
              <w:rPr/>
            </w:pPr>
            <w:r>
              <w:rPr/>
              <w:t> </w:t>
            </w:r>
          </w:p>
        </w:tc>
        <w:tc>
          <w:tcPr>
            <w:tcW w:w="1412" w:type="dxa"/>
            <w:tcBorders>
              <w:bottom w:val="single" w:sz="4" w:space="0" w:color="000000"/>
              <w:right w:val="single" w:sz="4" w:space="0" w:color="000000"/>
            </w:tcBorders>
            <w:tcMar>
              <w:top w:w="0" w:type="dxa"/>
              <w:left w:w="0" w:type="dxa"/>
              <w:bottom w:w="35"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$62,691.88</w:t>
            </w:r>
          </w:p>
        </w:tc>
      </w:tr>
    </w:tbl>
    <w:p>
      <w:pPr>
        <w:pStyle w:val="TextBody"/>
        <w:bidi w:val="0"/>
        <w:jc w:val="left"/>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jc w:val="both"/>
        <w:rPr>
          <w:rFonts w:ascii="Arial" w:hAnsi="Arial"/>
          <w:color w:val="000000"/>
          <w:sz w:val="18"/>
        </w:rPr>
      </w:pPr>
      <w:r>
        <w:rPr>
          <w:rFonts w:ascii="Arial" w:hAnsi="Arial"/>
          <w:color w:val="000000"/>
          <w:sz w:val="18"/>
        </w:rPr>
        <w:t>Consists of 3,000,000 shares of Common Stock under the Plan that became reserved and available for issuance following approval by the Registrant’s shareholders of the First Amendment to the Plan on May 14, 2026. In addition, pursuant to Rule 416 under the Securities Act, the Registration Statement also relates to such indeterminate number of additional shares of Common Stock as may be issuable to prevent dilution in the event of a stock dividend, stock split, recapitalization, or other similar changes in the Registrant’s capital structure, merger, consolidation, spin-off, split-off, spin-out, split-up, reorganization, partial or complete liquidation, or other distribution of assets, issuance of rights or warrants to purchase securities, or any other corporate transaction or event having an effect similar to any of the foregoing. Capitalized terms used in this Exhibit 107 are defined in the Registration Statement that this exhibit is filed with.</w:t>
      </w:r>
    </w:p>
    <w:p>
      <w:pPr>
        <w:pStyle w:val="TextBody"/>
        <w:bidi w:val="0"/>
        <w:jc w:val="both"/>
        <w:rPr/>
      </w:pPr>
      <w:r>
        <w:rPr/>
        <w:t> </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jc w:val="left"/>
        <w:rPr>
          <w:rFonts w:ascii="Arial" w:hAnsi="Arial"/>
          <w:color w:val="000000"/>
          <w:sz w:val="18"/>
        </w:rPr>
      </w:pPr>
      <w:r>
        <w:rPr>
          <w:rFonts w:ascii="Arial" w:hAnsi="Arial"/>
          <w:color w:val="000000"/>
          <w:sz w:val="18"/>
        </w:rPr>
        <w:t xml:space="preserve">Estimated solely for the purpose of calculation of the registration fee pursuant to Rules 457(c) and 457(h) under the Securities Act, based on a per share price of $151.32, the average of the high and low reported sales prices of the Common Stock on the Nasdaq Stock Market on July 24, 2026, a date within five business days prior to the filing of this Registration Statement.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56696/000156459020026164/0001564590-20-026164-index.htm" TargetMode="External"/><Relationship Id="rId3" Type="http://schemas.openxmlformats.org/officeDocument/2006/relationships/hyperlink" Target="https://www.sec.gov/Archives/edgar/data/1056696/000119312514284514/d732483dex31.htm" TargetMode="External"/><Relationship Id="rId4" Type="http://schemas.openxmlformats.org/officeDocument/2006/relationships/hyperlink" Target="https://www.sec.gov/Archives/edgar/data/1056696/000095017023007050/manh-ex3_2.htm" TargetMode="External"/><Relationship Id="rId5" Type="http://schemas.openxmlformats.org/officeDocument/2006/relationships/image" Target="media/image1.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2144</Words>
  <Characters>11536</Characters>
  <CharactersWithSpaces>13603</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