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Hollembaek Linda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2300 WINDY RIDGE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MANHATTAN ASSOCIATES INC</w:t>
              </w:r>
            </w:hyperlink>
            <w:r>
              <w:rPr/>
              <w:t xml:space="preserve"> [ </w:t>
            </w:r>
            <w:r>
              <w:rPr>
                <w:rFonts w:ascii="Times;serif" w:hAnsi="Times;serif"/>
                <w:color w:val="0000FF"/>
                <w:sz w:val="24"/>
                <w:shd w:fill="FFFFFF" w:val="clear"/>
              </w:rPr>
              <w:t>MANH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1,940</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grant under the Company's stock incentive plan, vesting fully on the earlier to occur of the next annual meeting of shareholders and the first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M. Eaton,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9966" TargetMode="External"/><Relationship Id="rId5" Type="http://schemas.openxmlformats.org/officeDocument/2006/relationships/hyperlink" Target="http://www.sec.gov/cgi-bin/browse-edgar?action=getcompany&amp;CIK=00010566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593</Words>
  <Characters>3217</Characters>
  <CharactersWithSpaces>3751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