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MANHATTAN ASSOCIATES,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0-23999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58-2373424</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2300 Windy Ridge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Tenth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30339</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955-7070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980" w:hanging="463"/>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22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Thursday, May 14, 2026, Manhattan Associates, Inc., a Georgia corporation (the “Company”), held the Company’s 2026 Annual Meeting of Shareholders (the “Annual Meeting”) in Atlanta, Georgia. As of the record date, March 18, 2026, there were 59,162,073 shares of common stock entitled to vote at the Annual Meeting. There were present at the Annual Meeting, in person or by proxy, holders of 55,764,873 shares, representing approximately 94% of the common stock entitled to vote at the Annual Meeting.</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matters considered and voted on by the Company’s shareholders at the Annual Meeting, the votes cast for, or against, and the number of abstentions and broker non-votes with respect to each matter voted upon, as applicable, are set forth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3240" w:type="dxa"/>
            <w:vAlign w:val="bottom"/>
          </w:tcPr>
          <w:p>
            <w:pPr>
              <w:spacing w:after="0"/>
              <w:rPr>
                <w:sz w:val="19"/>
                <w:szCs w:val="19"/>
                <w:color w:val="auto"/>
              </w:rPr>
            </w:pPr>
          </w:p>
        </w:tc>
        <w:tc>
          <w:tcPr>
            <w:tcW w:w="18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32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Proposals</w:t>
            </w:r>
          </w:p>
        </w:tc>
        <w:tc>
          <w:tcPr>
            <w:tcW w:w="18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Expires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7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00" w:type="dxa"/>
            <w:vAlign w:val="bottom"/>
            <w:tcBorders>
              <w:bottom w:val="single" w:sz="8" w:color="auto"/>
            </w:tcBorders>
          </w:tcPr>
          <w:p>
            <w:pPr>
              <w:spacing w:after="0"/>
              <w:rPr>
                <w:sz w:val="20"/>
                <w:szCs w:val="20"/>
                <w:color w:val="auto"/>
              </w:rPr>
            </w:pPr>
          </w:p>
        </w:tc>
      </w:tr>
      <w:tr>
        <w:trPr>
          <w:trHeight w:val="259"/>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 Election of Class I Directors</w:t>
            </w:r>
          </w:p>
        </w:tc>
        <w:tc>
          <w:tcPr>
            <w:tcW w:w="18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Eddie Capel</w:t>
            </w:r>
          </w:p>
        </w:tc>
        <w:tc>
          <w:tcPr>
            <w:tcW w:w="18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2029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46,240,409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7,798,150</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44,556</w:t>
            </w:r>
          </w:p>
        </w:tc>
        <w:tc>
          <w:tcPr>
            <w:tcW w:w="1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1,681,758</w:t>
            </w:r>
          </w:p>
        </w:tc>
        <w:tc>
          <w:tcPr>
            <w:tcW w:w="100" w:type="dxa"/>
            <w:vAlign w:val="bottom"/>
          </w:tcPr>
          <w:p>
            <w:pPr>
              <w:spacing w:after="0"/>
              <w:rPr>
                <w:sz w:val="18"/>
                <w:szCs w:val="18"/>
                <w:color w:val="auto"/>
              </w:rPr>
            </w:pPr>
          </w:p>
        </w:tc>
      </w:tr>
      <w:tr>
        <w:trPr>
          <w:trHeight w:val="216"/>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Charles E. Moran</w:t>
            </w:r>
          </w:p>
        </w:tc>
        <w:tc>
          <w:tcPr>
            <w:tcW w:w="18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2029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49,295,647</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4,760,807</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26,661</w:t>
            </w:r>
          </w:p>
        </w:tc>
        <w:tc>
          <w:tcPr>
            <w:tcW w:w="1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1,681,758</w:t>
            </w:r>
          </w:p>
        </w:tc>
        <w:tc>
          <w:tcPr>
            <w:tcW w:w="100" w:type="dxa"/>
            <w:vAlign w:val="bottom"/>
          </w:tcPr>
          <w:p>
            <w:pPr>
              <w:spacing w:after="0"/>
              <w:rPr>
                <w:sz w:val="18"/>
                <w:szCs w:val="18"/>
                <w:color w:val="auto"/>
              </w:rPr>
            </w:pPr>
          </w:p>
        </w:tc>
      </w:tr>
      <w:tr>
        <w:trPr>
          <w:trHeight w:val="234"/>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Linda T. Hollembaek</w:t>
            </w:r>
          </w:p>
        </w:tc>
        <w:tc>
          <w:tcPr>
            <w:tcW w:w="18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2029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40,736,566</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13,311,873</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34,676</w:t>
            </w:r>
          </w:p>
        </w:tc>
        <w:tc>
          <w:tcPr>
            <w:tcW w:w="1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1,681,758</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The nominees for Class I Directors were elected. Messrs. Capel and Moran and Ms. Hollembaek received the affirmative vote of a majority of the votes cast.</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4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 Non-binding resolution to approve the compensation of the</w:t>
            </w: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For</w:t>
            </w:r>
          </w:p>
        </w:tc>
        <w:tc>
          <w:tcPr>
            <w:tcW w:w="16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5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48,346,043</w:t>
            </w:r>
          </w:p>
        </w:tc>
        <w:tc>
          <w:tcPr>
            <w:tcW w:w="1600" w:type="dxa"/>
            <w:vAlign w:val="bottom"/>
          </w:tcPr>
          <w:p>
            <w:pPr>
              <w:jc w:val="right"/>
              <w:ind w:right="450"/>
              <w:spacing w:after="0" w:line="191" w:lineRule="exact"/>
              <w:rPr>
                <w:sz w:val="20"/>
                <w:szCs w:val="20"/>
                <w:color w:val="auto"/>
              </w:rPr>
            </w:pPr>
            <w:r>
              <w:rPr>
                <w:rFonts w:ascii="Times New Roman" w:cs="Times New Roman" w:eastAsia="Times New Roman" w:hAnsi="Times New Roman"/>
                <w:sz w:val="18"/>
                <w:szCs w:val="18"/>
                <w:color w:val="auto"/>
              </w:rPr>
              <w:t>5,701,372</w:t>
            </w:r>
          </w:p>
        </w:tc>
        <w:tc>
          <w:tcPr>
            <w:tcW w:w="1540" w:type="dxa"/>
            <w:vAlign w:val="bottom"/>
          </w:tcPr>
          <w:p>
            <w:pPr>
              <w:jc w:val="center"/>
              <w:ind w:left="30"/>
              <w:spacing w:after="0" w:line="191" w:lineRule="exact"/>
              <w:rPr>
                <w:sz w:val="20"/>
                <w:szCs w:val="20"/>
                <w:color w:val="auto"/>
              </w:rPr>
            </w:pPr>
            <w:r>
              <w:rPr>
                <w:rFonts w:ascii="Times New Roman" w:cs="Times New Roman" w:eastAsia="Times New Roman" w:hAnsi="Times New Roman"/>
                <w:sz w:val="18"/>
                <w:szCs w:val="18"/>
                <w:color w:val="auto"/>
              </w:rPr>
              <w:t>35,700</w:t>
            </w:r>
          </w:p>
        </w:tc>
        <w:tc>
          <w:tcPr>
            <w:tcW w:w="1780" w:type="dxa"/>
            <w:vAlign w:val="bottom"/>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1,681,758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Company’s named executive officers.</w:t>
            </w:r>
          </w:p>
        </w:tc>
        <w:tc>
          <w:tcPr>
            <w:tcW w:w="1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The Company’s shareholders approved proposal 2 set forth above.</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 Ratification of the appointment of Ernst &amp; Young LLP as</w:t>
            </w: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53,188,995</w:t>
            </w:r>
          </w:p>
        </w:tc>
        <w:tc>
          <w:tcPr>
            <w:tcW w:w="1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2,543,852</w:t>
            </w:r>
          </w:p>
        </w:tc>
        <w:tc>
          <w:tcPr>
            <w:tcW w:w="1540" w:type="dxa"/>
            <w:vAlign w:val="bottom"/>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32,026</w:t>
            </w:r>
          </w:p>
        </w:tc>
        <w:tc>
          <w:tcPr>
            <w:tcW w:w="1780" w:type="dxa"/>
            <w:vAlign w:val="bottom"/>
          </w:tcPr>
          <w:p>
            <w:pPr>
              <w:jc w:val="right"/>
              <w:ind w:right="63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w:t>
            </w:r>
          </w:p>
        </w:tc>
        <w:tc>
          <w:tcPr>
            <w:tcW w:w="1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fiscal year ending December 31, 2026.</w:t>
            </w:r>
          </w:p>
        </w:tc>
        <w:tc>
          <w:tcPr>
            <w:tcW w:w="1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1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The Company’s shareholders approved proposal 3 set forth above.</w:t>
            </w: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Number of Votes</w:t>
            </w:r>
          </w:p>
        </w:tc>
        <w:tc>
          <w:tcPr>
            <w:tcW w:w="1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 Approval of the First Amendment to Manhattan Associates,</w:t>
            </w: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51,202,541</w:t>
            </w:r>
          </w:p>
        </w:tc>
        <w:tc>
          <w:tcPr>
            <w:tcW w:w="1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2,851,682</w:t>
            </w:r>
          </w:p>
        </w:tc>
        <w:tc>
          <w:tcPr>
            <w:tcW w:w="1540" w:type="dxa"/>
            <w:vAlign w:val="bottom"/>
          </w:tcPr>
          <w:p>
            <w:pPr>
              <w:jc w:val="center"/>
              <w:ind w:left="70"/>
              <w:spacing w:after="0" w:line="191" w:lineRule="exact"/>
              <w:rPr>
                <w:sz w:val="20"/>
                <w:szCs w:val="20"/>
                <w:color w:val="auto"/>
              </w:rPr>
            </w:pPr>
            <w:r>
              <w:rPr>
                <w:rFonts w:ascii="Times New Roman" w:cs="Times New Roman" w:eastAsia="Times New Roman" w:hAnsi="Times New Roman"/>
                <w:sz w:val="18"/>
                <w:szCs w:val="18"/>
                <w:color w:val="auto"/>
              </w:rPr>
              <w:t>28,892</w:t>
            </w:r>
          </w:p>
        </w:tc>
        <w:tc>
          <w:tcPr>
            <w:tcW w:w="1780" w:type="dxa"/>
            <w:vAlign w:val="bottom"/>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1,681,758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 2020 Equity Incentive Plan</w:t>
            </w:r>
          </w:p>
        </w:tc>
        <w:tc>
          <w:tcPr>
            <w:tcW w:w="14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shareholders approved proposal 4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Manhattan Associates,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S.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2026-05-18T09:04:44Z</dcterms:created>
  <dcterms:modified xsi:type="dcterms:W3CDTF">2026-05-18T09:04:44Z</dcterms:modified>
</cp:coreProperties>
</file>