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MORAN CHARLES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2300 WINDY RIDGE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MANHATTAN ASSOCIATES INC</w:t>
              </w:r>
            </w:hyperlink>
            <w:r>
              <w:rPr/>
              <w:t xml:space="preserve"> [ </w:t>
            </w:r>
            <w:r>
              <w:rPr>
                <w:rFonts w:ascii="Times;serif" w:hAnsi="Times;serif"/>
                <w:color w:val="0000FF"/>
                <w:sz w:val="24"/>
                <w:shd w:fill="FFFFFF" w:val="clear"/>
              </w:rPr>
              <w:t>MANH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1,940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20,808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grant under the Company's stock incentive plan, vesting fully on the earlier to occur of the next annual meeting of shareholders and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M. Eaton,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0189" TargetMode="External"/><Relationship Id="rId5" Type="http://schemas.openxmlformats.org/officeDocument/2006/relationships/hyperlink" Target="http://www.sec.gov/cgi-bin/browse-edgar?action=getcompany&amp;CIK=00010566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3237</Characters>
  <CharactersWithSpaces>3773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