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MANHATTAN ASSOCIATES,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0-23999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58-2373424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2300 Windy Ridge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Tenth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30339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955-7070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2.05.</w:t>
      </w:r>
      <w:r>
        <w:rPr>
          <w:sz w:val="20"/>
          <w:szCs w:val="20"/>
          <w:color w:val="auto"/>
        </w:rPr>
        <w:tab/>
      </w:r>
      <w:r>
        <w:rPr>
          <w:rFonts w:ascii="Times New Roman" w:cs="Times New Roman" w:eastAsia="Times New Roman" w:hAnsi="Times New Roman"/>
          <w:sz w:val="19"/>
          <w:szCs w:val="19"/>
          <w:b w:val="1"/>
          <w:bCs w:val="1"/>
          <w:color w:val="auto"/>
        </w:rPr>
        <w:t>Costs Associated with Exit or Disposal Activities.</w:t>
      </w:r>
    </w:p>
    <w:p>
      <w:pPr>
        <w:spacing w:after="0" w:line="224"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On June 1, 2026, Manhattan Associates, Inc. (“Manhattan”) initiated plans to reduce its global headcount by approximately 6%, leveraging increased operational efficiencies and allowing it to focus investments on key strategic priorities. Manhattan estimates that it will incur expenses, substantially all in cash, of approximately $7 million to $9 million in the second quarter of 2026, consisting of severance and other one-time termination benefits in connection with these actions. Manhattan expects to substantially complete the plan by the end of the second quarter. Manhattan currently intends to exclude the charges associated with these actions from future presentations of its non-GAAP financial measures.</w:t>
      </w:r>
    </w:p>
    <w:p>
      <w:pPr>
        <w:spacing w:after="0" w:line="1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24" w:lineRule="exact"/>
        <w:rPr>
          <w:sz w:val="20"/>
          <w:szCs w:val="20"/>
          <w:color w:val="auto"/>
        </w:rPr>
      </w:pPr>
    </w:p>
    <w:p>
      <w:pPr>
        <w:ind w:firstLine="2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Manhattan reaffirms its forward-looking financial guidance for 2026 appearing under the heading “2026 Guidance” in the Company’s </w:t>
      </w:r>
      <w:hyperlink r:id="rId16">
        <w:r>
          <w:rPr>
            <w:rFonts w:ascii="Times New Roman" w:cs="Times New Roman" w:eastAsia="Times New Roman" w:hAnsi="Times New Roman"/>
            <w:sz w:val="18"/>
            <w:szCs w:val="18"/>
            <w:u w:val="single" w:color="auto"/>
            <w:color w:val="0000FF"/>
          </w:rPr>
          <w:t>press release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was previously furnished as Exhibit 99.1 to the Company’s Current Report on Form 8-K, as filed with the Securities and Exchange Commission on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6324600</wp:posOffset>
            </wp:positionH>
            <wp:positionV relativeFrom="paragraph">
              <wp:posOffset>-313055</wp:posOffset>
            </wp:positionV>
            <wp:extent cx="58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156"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Following publication of this report, any expectations with respect to future financial performance contained in it should be considered historical only, and Manhattan disclaims any obligation to update them.</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Pursuant to General Instruction B.2 of Form 8-K, this information under this Item 7.01 is “furnished” and not “filed” for purposes of Section 18 of the Securities Exchange Act of 1934.</w:t>
      </w:r>
    </w:p>
    <w:p>
      <w:pPr>
        <w:spacing w:after="0" w:line="158" w:lineRule="exact"/>
        <w:rPr>
          <w:sz w:val="20"/>
          <w:szCs w:val="20"/>
          <w:color w:val="auto"/>
        </w:rPr>
      </w:pPr>
    </w:p>
    <w:p>
      <w:pPr>
        <w:jc w:val="center"/>
        <w:ind w:left="360"/>
        <w:spacing w:after="0"/>
        <w:tabs>
          <w:tab w:leader="none" w:pos="160" w:val="left"/>
          <w:tab w:leader="none" w:pos="160" w:val="left"/>
          <w:tab w:leader="none" w:pos="140" w:val="left"/>
        </w:tabs>
        <w:rPr>
          <w:sz w:val="20"/>
          <w:szCs w:val="20"/>
          <w:color w:val="auto"/>
        </w:rPr>
      </w:pPr>
      <w:r>
        <w:rPr>
          <w:rFonts w:ascii="Arial" w:cs="Arial" w:eastAsia="Arial" w:hAnsi="Arial"/>
          <w:sz w:val="20"/>
          <w:szCs w:val="20"/>
          <w:color w:val="auto"/>
        </w:rPr>
        <w:t>*</w:t>
        <w:tab/>
        <w:t>*</w:t>
        <w:tab/>
        <w:t>*</w:t>
        <w:tab/>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14" w:lineRule="exact"/>
        <w:rPr>
          <w:sz w:val="20"/>
          <w:szCs w:val="20"/>
          <w:color w:val="auto"/>
        </w:rPr>
      </w:pPr>
    </w:p>
    <w:p>
      <w:pPr>
        <w:ind w:right="100" w:firstLine="255"/>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relating to Manhattan Associates, Inc. Forward-looking statements in this report include, without limitation, estimated expenses incurred in connection with Manhattan’s headcount reduction, the 2026 guidance information reaffirmed under Item 7.01 and statements identified by words such as “may,” “expect,” “forecast,” “anticipate,” “intend,” “plan,” “believe,” “could,” “seek,” “project,” “estimate,” and similar expressions. Shareholders and prospective investors are cautioned that any of those forward-looking statements are not guarantees of future performance and involve risks and uncertainties, and that actual results may differ materially from those contemplated by those forward-looking statements. Among the important factors that could cause actual results to differ materially from those indicated by those forward-looking statements are: economic conditions, including as a result of global instability due to military conflict, including: the military conflict involving the United States, Israel, and Iran, as well as the ongoing war between Russia and Ukraine; disruption and transformation in the retail sector and our vertical markets; delays in product development; competitive and pricing pressures; software errors and information technology failures; disruption and security breaches; risks related to our products’ technology and customer implementations; risks associated with our use of generative and agentic artificial intelligence; and the other risk factors set forth in Item 1A of the Company’s Annual Report on Form 10-K for the year ended December 31, 2025, and in Item 1A of Part II in subsequent Quarterly Reports on Form 10-Q. Manhattan undertakes no obligation to update or revise forward-looking statements to reflect changed assumptions, the occurrence of unanticipated events or changes in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Manhattan Associates, Inc.</w:t>
            </w:r>
          </w:p>
        </w:tc>
      </w:tr>
      <w:tr>
        <w:trPr>
          <w:trHeight w:val="58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1,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Linda Pinne</w:t>
            </w:r>
          </w:p>
        </w:tc>
      </w:tr>
      <w:tr>
        <w:trPr>
          <w:trHeight w:val="191"/>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Linda Pinne</w:t>
            </w:r>
          </w:p>
        </w:tc>
      </w:tr>
      <w:tr>
        <w:trPr>
          <w:trHeight w:val="234"/>
        </w:trPr>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1195"/>
        </w:trPr>
        <w:tc>
          <w:tcPr>
            <w:tcW w:w="5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6" Type="http://schemas.openxmlformats.org/officeDocument/2006/relationships/hyperlink" Target="https://www.sec.gov/Archives/edgar/data/1056696/000119312526166709/manh-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2026-06-01T15:36:59Z</dcterms:created>
  <dcterms:modified xsi:type="dcterms:W3CDTF">2026-06-01T15:36:59Z</dcterms:modified>
</cp:coreProperties>
</file>